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36726" w14:textId="77777777" w:rsidR="003C50D7" w:rsidRPr="003C50D7" w:rsidRDefault="003C50D7" w:rsidP="003C50D7">
      <w:pPr>
        <w:ind w:left="720" w:right="720"/>
        <w:jc w:val="center"/>
        <w:rPr>
          <w:rFonts w:asciiTheme="minorHAnsi" w:hAnsiTheme="minorHAnsi" w:cstheme="minorHAnsi"/>
          <w:b/>
          <w:bCs/>
          <w:sz w:val="28"/>
          <w:szCs w:val="28"/>
        </w:rPr>
      </w:pPr>
      <w:r w:rsidRPr="003C50D7">
        <w:rPr>
          <w:rFonts w:asciiTheme="minorHAnsi" w:hAnsiTheme="minorHAnsi" w:cstheme="minorHAnsi"/>
          <w:b/>
          <w:bCs/>
          <w:sz w:val="28"/>
          <w:szCs w:val="28"/>
        </w:rPr>
        <w:t>Public Consultations on the EU’s next long-term budget (MFF)</w:t>
      </w:r>
    </w:p>
    <w:p w14:paraId="414E8D26" w14:textId="77777777" w:rsidR="00F30D1F" w:rsidRPr="00CD65F7" w:rsidRDefault="00F30D1F" w:rsidP="00186D63">
      <w:pPr>
        <w:ind w:left="709" w:right="1107"/>
      </w:pPr>
    </w:p>
    <w:p w14:paraId="3C21129A" w14:textId="2BF362E6" w:rsidR="00F30D1F" w:rsidRPr="00CD65F7" w:rsidRDefault="006360D5" w:rsidP="00186D63">
      <w:pPr>
        <w:ind w:left="709" w:right="1107"/>
      </w:pPr>
      <w:r w:rsidRPr="005C3B7C">
        <w:rPr>
          <w:rFonts w:asciiTheme="majorHAnsi" w:hAnsiTheme="majorHAnsi" w:cstheme="majorHAnsi"/>
          <w:b/>
          <w:bCs/>
          <w:sz w:val="28"/>
          <w:szCs w:val="28"/>
        </w:rPr>
        <w:t>Specific comments on common issues across consultations</w:t>
      </w:r>
    </w:p>
    <w:p w14:paraId="5A56AF50" w14:textId="77777777" w:rsidR="00F30D1F" w:rsidRPr="00CD65F7" w:rsidRDefault="00F30D1F" w:rsidP="00186D63">
      <w:pPr>
        <w:ind w:left="709" w:right="1107"/>
      </w:pPr>
    </w:p>
    <w:p w14:paraId="40F5D695" w14:textId="797F4500" w:rsidR="00FA63C8" w:rsidRDefault="00AD4598" w:rsidP="00124DBD">
      <w:pPr>
        <w:ind w:left="709" w:right="1107"/>
      </w:pPr>
      <w:r w:rsidRPr="00AD4598">
        <w:t xml:space="preserve">In responding to the European Commission’s consultation on the next Multiannual Financial Framework (MFF), </w:t>
      </w:r>
      <w:r w:rsidR="00A343E9">
        <w:t>we</w:t>
      </w:r>
      <w:r w:rsidRPr="00AD4598">
        <w:t xml:space="preserve"> would like to provide further clarifications regarding some of the topics raised. In particular, we were asked to comment on several elements identified as key policy challenges, obstacles preventing the EU budget from fully delivering on its objectives, and opportunities for improving the effectiveness and efficiency of the EU budget. </w:t>
      </w:r>
    </w:p>
    <w:p w14:paraId="5834AB94" w14:textId="77777777" w:rsidR="00FA63C8" w:rsidRDefault="00FA63C8" w:rsidP="00124DBD">
      <w:pPr>
        <w:ind w:left="709" w:right="1107"/>
      </w:pPr>
    </w:p>
    <w:p w14:paraId="183274CE" w14:textId="39F00AAE" w:rsidR="00C26116" w:rsidRDefault="00AD4598" w:rsidP="00124DBD">
      <w:pPr>
        <w:ind w:left="709" w:right="1107"/>
      </w:pPr>
      <w:r w:rsidRPr="00AD4598">
        <w:t>Based on our experience, we outline below our observations and recommendations to ensure that EU funding continues to promote social inclusion, equality, and the transition towards community-based support systems</w:t>
      </w:r>
      <w:r w:rsidR="00124DBD">
        <w:t>:</w:t>
      </w:r>
    </w:p>
    <w:p w14:paraId="174D6D8E" w14:textId="48D69917" w:rsidR="00F76916" w:rsidRPr="002A0717" w:rsidRDefault="00F76916" w:rsidP="00F76916">
      <w:pPr>
        <w:pStyle w:val="ListParagraph"/>
        <w:numPr>
          <w:ilvl w:val="0"/>
          <w:numId w:val="13"/>
        </w:numPr>
        <w:ind w:right="1107"/>
      </w:pPr>
      <w:r w:rsidRPr="002A0717">
        <w:rPr>
          <w:b/>
          <w:bCs/>
        </w:rPr>
        <w:t>Reducing the number of EU funding programmes</w:t>
      </w:r>
      <w:r w:rsidRPr="002A0717">
        <w:t>: Reducing the number of funding programmes could oversimplify complex sector needs. Social services require tailored programmes to address specific challenges. A streamlined approach must not reduce the funding available for these targeted areas.</w:t>
      </w:r>
    </w:p>
    <w:p w14:paraId="5142BD19" w14:textId="0F43C1D6" w:rsidR="002A0717" w:rsidRPr="002A0717" w:rsidRDefault="002A0717" w:rsidP="002A0717">
      <w:pPr>
        <w:pStyle w:val="ListParagraph"/>
        <w:numPr>
          <w:ilvl w:val="0"/>
          <w:numId w:val="13"/>
        </w:numPr>
        <w:ind w:right="1107"/>
      </w:pPr>
      <w:r w:rsidRPr="002A0717">
        <w:rPr>
          <w:b/>
          <w:bCs/>
        </w:rPr>
        <w:t>Focus on EU priorities</w:t>
      </w:r>
      <w:r w:rsidRPr="002A0717">
        <w:t xml:space="preserve">: The </w:t>
      </w:r>
      <w:hyperlink r:id="rId11" w:history="1">
        <w:r w:rsidRPr="001D2F82">
          <w:rPr>
            <w:rStyle w:val="Hyperlink"/>
          </w:rPr>
          <w:t>2024-2029 EU priorities</w:t>
        </w:r>
      </w:hyperlink>
      <w:r w:rsidRPr="002A0717">
        <w:t xml:space="preserve"> focus heavily on competitiveness</w:t>
      </w:r>
      <w:r w:rsidR="00280419">
        <w:t>, defence</w:t>
      </w:r>
      <w:r w:rsidRPr="002A0717">
        <w:t xml:space="preserve"> and green transitions, with limited attention to social inclusion</w:t>
      </w:r>
      <w:r>
        <w:t xml:space="preserve"> and employment</w:t>
      </w:r>
      <w:r w:rsidRPr="002A0717">
        <w:t>. EU treaties emphasise equality and fundamental rights, which could be overshadowed by these economic and environmental priorities. It is essential to maintain a balance and ensure social inclusion remains a core value of EU funding.</w:t>
      </w:r>
      <w:r w:rsidR="0093088C">
        <w:t xml:space="preserve"> For this reason, we are cautious about calling for more focus on EU priorities. However, we would like to underline that we call for a general increase in the EU budget and in particular of the </w:t>
      </w:r>
      <w:r w:rsidR="006A2A83">
        <w:t>C</w:t>
      </w:r>
      <w:r w:rsidR="0093088C">
        <w:t xml:space="preserve">ohesion </w:t>
      </w:r>
      <w:r w:rsidR="006A2A83">
        <w:t>F</w:t>
      </w:r>
      <w:r w:rsidR="0093088C">
        <w:t>unds.</w:t>
      </w:r>
    </w:p>
    <w:p w14:paraId="085D49F1" w14:textId="21AFA07F" w:rsidR="002A0717" w:rsidRDefault="002A0717" w:rsidP="002A0717">
      <w:pPr>
        <w:pStyle w:val="ListParagraph"/>
        <w:numPr>
          <w:ilvl w:val="0"/>
          <w:numId w:val="13"/>
        </w:numPr>
        <w:ind w:right="1107"/>
      </w:pPr>
      <w:r w:rsidRPr="002A0717">
        <w:rPr>
          <w:b/>
          <w:bCs/>
        </w:rPr>
        <w:t>Flexibility in EU funding</w:t>
      </w:r>
      <w:r w:rsidRPr="002A0717">
        <w:t xml:space="preserve">: </w:t>
      </w:r>
      <w:r w:rsidR="006A2A83">
        <w:t xml:space="preserve">We witnessed during the COVID pandemic how </w:t>
      </w:r>
      <w:r w:rsidRPr="002A0717">
        <w:t xml:space="preserve">flexibility </w:t>
      </w:r>
      <w:r w:rsidR="006A2A83">
        <w:t>can be</w:t>
      </w:r>
      <w:r w:rsidRPr="002A0717">
        <w:t xml:space="preserve"> important for addressing unforeseen developments</w:t>
      </w:r>
      <w:r w:rsidR="006A2A83">
        <w:t xml:space="preserve">. However, </w:t>
      </w:r>
      <w:r w:rsidR="004D5B8D">
        <w:t xml:space="preserve">we need regulations to ensure that more flexibility to health and security threats does not lead to </w:t>
      </w:r>
      <w:r w:rsidR="002F70DD">
        <w:t xml:space="preserve">a </w:t>
      </w:r>
      <w:r w:rsidRPr="002A0717">
        <w:t>reduction in support for sectors like social services. The social sector relies heavily on EU funds, especially due to national disinvestment</w:t>
      </w:r>
      <w:r w:rsidR="002F70DD">
        <w:t>, and to the EU fiscal rules</w:t>
      </w:r>
      <w:r w:rsidRPr="002A0717">
        <w:t xml:space="preserve">. </w:t>
      </w:r>
      <w:r w:rsidR="002F70DD">
        <w:t>We would like to stress that</w:t>
      </w:r>
      <w:r w:rsidRPr="002A0717">
        <w:t xml:space="preserve"> flexibility in funding should not mean cutting essential support for these critical services.</w:t>
      </w:r>
    </w:p>
    <w:p w14:paraId="6655E536" w14:textId="060A0166" w:rsidR="00BF1821" w:rsidRPr="002A0717" w:rsidRDefault="008B1599" w:rsidP="002A0717">
      <w:pPr>
        <w:pStyle w:val="ListParagraph"/>
        <w:numPr>
          <w:ilvl w:val="0"/>
          <w:numId w:val="13"/>
        </w:numPr>
        <w:ind w:right="1107"/>
      </w:pPr>
      <w:r>
        <w:rPr>
          <w:b/>
          <w:bCs/>
        </w:rPr>
        <w:t xml:space="preserve">Different and often complex fund-specific rules on access to funding and compliance: </w:t>
      </w:r>
      <w:r w:rsidR="00A0078D" w:rsidRPr="00A0078D">
        <w:t>While EASPD supports the goal of simplifying access to EU funding, simplification should not come at the expense of key safeguards. Complexity should not exist for its own sake, but in some cases — such as the Common Provisions Regulation — specific rules are necessary to ensure that EU funds contribute to crucial objectives, including promoting social inclusion, upholding the UN Convention on the Rights of Persons with Disabilities (UNCRPD), and supporting the transition from institutional to community-based care. If simplification results in more freedom for Member States to divert funds away from these essential priorities, it would be deeply concerning. EASPD also supports earmarking funding — for example, for social inclusion within the ESF+ and for the implementation of the European Child Guarantee — to maintain a strong focus on critical social objectives within EU funding programmes.</w:t>
      </w:r>
    </w:p>
    <w:p w14:paraId="7DEA5E91" w14:textId="6BBBE610" w:rsidR="002A0717" w:rsidRPr="002A0717" w:rsidRDefault="002A0717" w:rsidP="002A0717">
      <w:pPr>
        <w:pStyle w:val="ListParagraph"/>
        <w:numPr>
          <w:ilvl w:val="0"/>
          <w:numId w:val="13"/>
        </w:numPr>
        <w:ind w:right="1107"/>
      </w:pPr>
      <w:r w:rsidRPr="002A0717">
        <w:rPr>
          <w:b/>
          <w:bCs/>
        </w:rPr>
        <w:lastRenderedPageBreak/>
        <w:t>Mobilising private financing</w:t>
      </w:r>
      <w:r w:rsidRPr="002A0717">
        <w:t>: While de-risking mechanisms can attract private investment, social services require sustained public investment. Over-relying on private finance risks limiting access to services for vulnerable populations. Public investment should be prioritised to ensure social inclusion and long-term impact rather than short-term financial returns.</w:t>
      </w:r>
    </w:p>
    <w:p w14:paraId="2DFAB3E9" w14:textId="77777777" w:rsidR="00CB4437" w:rsidRDefault="002A0717" w:rsidP="00CB4437">
      <w:pPr>
        <w:pStyle w:val="ListParagraph"/>
        <w:numPr>
          <w:ilvl w:val="0"/>
          <w:numId w:val="13"/>
        </w:numPr>
        <w:ind w:right="1107"/>
      </w:pPr>
      <w:r w:rsidRPr="002A0717">
        <w:rPr>
          <w:b/>
          <w:bCs/>
        </w:rPr>
        <w:t>Performance-based funding</w:t>
      </w:r>
      <w:r w:rsidRPr="002A0717">
        <w:t xml:space="preserve">: </w:t>
      </w:r>
      <w:r w:rsidR="00F34991" w:rsidRPr="00F34991">
        <w:t>EASPD agrees with a greater focus on results, provided that "results" are understood as the production of clear, measurable deliverables. However, when it comes to funding social services, assessing broader impact — such as improvements in inclusion, empowerment, and quality of life — is often more complex and not always visible in the short term. Therefore, while performance-based funding can work well when tied to specific outputs, it is important to recognise the particular challenges of short-term impact measurement in the social sector.</w:t>
      </w:r>
    </w:p>
    <w:p w14:paraId="2135D4DA" w14:textId="4C5E00BD" w:rsidR="00F30D1F" w:rsidRDefault="002A0717" w:rsidP="00CB4437">
      <w:pPr>
        <w:pStyle w:val="ListParagraph"/>
        <w:numPr>
          <w:ilvl w:val="0"/>
          <w:numId w:val="13"/>
        </w:numPr>
        <w:ind w:right="1107"/>
      </w:pPr>
      <w:r w:rsidRPr="00CB4437">
        <w:rPr>
          <w:b/>
          <w:bCs/>
        </w:rPr>
        <w:t>Multi-country projects</w:t>
      </w:r>
      <w:r w:rsidRPr="002A0717">
        <w:t xml:space="preserve">: </w:t>
      </w:r>
      <w:r w:rsidR="00CB4437" w:rsidRPr="00CB4437">
        <w:t>Multi-country projects offer valuable solutions for common challenges and can foster useful exchanges. However, they may not always be suitable for sectors like social services, where interventions often require a locally tailored approach. Expanding the scope of projects too broadly risks diluting their effectiveness in addressing specific regional or local needs. One of the greatest added values of the ESF+ is its strong local and regional rooting, which allows interventions to be responsive to real community needs</w:t>
      </w:r>
      <w:r w:rsidR="00DE0204">
        <w:t xml:space="preserve">, </w:t>
      </w:r>
      <w:r w:rsidR="00CB4437" w:rsidRPr="00CB4437">
        <w:t>and this characteristic should be preserved and strengthened.</w:t>
      </w:r>
    </w:p>
    <w:p w14:paraId="1681A650" w14:textId="77777777" w:rsidR="002046DE" w:rsidRDefault="002046DE" w:rsidP="002046DE">
      <w:pPr>
        <w:ind w:right="1107"/>
      </w:pPr>
    </w:p>
    <w:p w14:paraId="75B55F96" w14:textId="4D338C4F" w:rsidR="006360D5" w:rsidRPr="00CD65F7" w:rsidRDefault="006360D5" w:rsidP="006360D5">
      <w:pPr>
        <w:ind w:left="709" w:right="1107"/>
      </w:pPr>
      <w:r>
        <w:rPr>
          <w:rFonts w:asciiTheme="majorHAnsi" w:hAnsiTheme="majorHAnsi" w:cstheme="majorHAnsi"/>
          <w:b/>
          <w:bCs/>
          <w:sz w:val="28"/>
          <w:szCs w:val="28"/>
        </w:rPr>
        <w:t>Key recommendations on the use of funding for social services</w:t>
      </w:r>
    </w:p>
    <w:p w14:paraId="0D04B81E" w14:textId="43C6B5ED" w:rsidR="002046DE" w:rsidRDefault="00AC039A" w:rsidP="00321E47">
      <w:pPr>
        <w:spacing w:after="160"/>
        <w:ind w:left="709" w:right="1248"/>
      </w:pPr>
      <w:r w:rsidRPr="00AC039A">
        <w:t>EU Funds, as a key tool to implement EU policies, have been crucial for driving social reforms across Europe and ensuring access to basic services for the most vulnerable, regardless of insurance or residence status. They have supported the shift toward a social, human rights-based and person-centred approach to care, promoted deinstitutionalisation, and more recently encouraged the integration of social care services and housing support for homeless persons. Through its guiding role and financial support, the EU has helped complement national efforts and drive needed reforms. However, significant challenges remain.</w:t>
      </w:r>
      <w:r w:rsidR="002046DE">
        <w:t xml:space="preserve"> Among these are:</w:t>
      </w:r>
    </w:p>
    <w:p w14:paraId="0918056F" w14:textId="77777777" w:rsidR="002046DE" w:rsidRDefault="002046DE" w:rsidP="001C2CEF">
      <w:pPr>
        <w:pStyle w:val="ListParagraph"/>
        <w:numPr>
          <w:ilvl w:val="0"/>
          <w:numId w:val="16"/>
        </w:numPr>
        <w:pBdr>
          <w:top w:val="nil"/>
          <w:left w:val="nil"/>
          <w:bottom w:val="nil"/>
          <w:right w:val="nil"/>
          <w:between w:val="nil"/>
        </w:pBdr>
        <w:spacing w:after="160"/>
        <w:ind w:right="1248"/>
        <w:jc w:val="both"/>
      </w:pPr>
      <w:r w:rsidRPr="001C2CEF">
        <w:rPr>
          <w:b/>
          <w:bCs/>
        </w:rPr>
        <w:t>Transition towards community-based services</w:t>
      </w:r>
      <w:r>
        <w:t xml:space="preserve">: </w:t>
      </w:r>
      <w:r w:rsidRPr="001C2CEF">
        <w:rPr>
          <w:color w:val="000000"/>
        </w:rPr>
        <w:t>Despite progress in some Member States, the transition towards person-</w:t>
      </w:r>
      <w:r>
        <w:t>centred</w:t>
      </w:r>
      <w:r w:rsidRPr="001C2CEF">
        <w:rPr>
          <w:color w:val="000000"/>
        </w:rPr>
        <w:t xml:space="preserve"> and community-based support systems has not yet been completed</w:t>
      </w:r>
      <w:r>
        <w:t>. More targeted resources need to be allocated to this transition, to ensure that services are supported and can fulfil their role in leaving no one behind</w:t>
      </w:r>
      <w:r w:rsidRPr="001C2CEF">
        <w:rPr>
          <w:color w:val="000000"/>
        </w:rPr>
        <w:t>;</w:t>
      </w:r>
    </w:p>
    <w:p w14:paraId="79953613" w14:textId="77777777" w:rsidR="002046DE" w:rsidRDefault="002046DE" w:rsidP="001C2CEF">
      <w:pPr>
        <w:pStyle w:val="ListParagraph"/>
        <w:numPr>
          <w:ilvl w:val="0"/>
          <w:numId w:val="16"/>
        </w:numPr>
        <w:pBdr>
          <w:top w:val="nil"/>
          <w:left w:val="nil"/>
          <w:bottom w:val="nil"/>
          <w:right w:val="nil"/>
          <w:between w:val="nil"/>
        </w:pBdr>
        <w:spacing w:after="160"/>
        <w:ind w:right="1248"/>
        <w:jc w:val="both"/>
      </w:pPr>
      <w:r w:rsidRPr="001C2CEF">
        <w:rPr>
          <w:b/>
          <w:bCs/>
        </w:rPr>
        <w:t xml:space="preserve">Structural underfunding: </w:t>
      </w:r>
      <w:r w:rsidRPr="001C2CEF">
        <w:rPr>
          <w:color w:val="000000"/>
        </w:rPr>
        <w:t xml:space="preserve">The care and </w:t>
      </w:r>
      <w:r>
        <w:t>support services sector</w:t>
      </w:r>
      <w:r w:rsidRPr="001C2CEF">
        <w:rPr>
          <w:color w:val="000000"/>
        </w:rPr>
        <w:t xml:space="preserve"> is structurally underfunded, making it very difficult for services to be resilient, improve the</w:t>
      </w:r>
      <w:r>
        <w:t xml:space="preserve"> quality of care,</w:t>
      </w:r>
      <w:r w:rsidRPr="001C2CEF">
        <w:rPr>
          <w:color w:val="000000"/>
        </w:rPr>
        <w:t xml:space="preserve"> and to </w:t>
      </w:r>
      <w:r>
        <w:t>develop</w:t>
      </w:r>
      <w:r w:rsidRPr="001C2CEF">
        <w:rPr>
          <w:color w:val="000000"/>
        </w:rPr>
        <w:t xml:space="preserve"> and implement innovative approaches</w:t>
      </w:r>
      <w:r>
        <w:t>.</w:t>
      </w:r>
      <w:r w:rsidRPr="001C2CEF">
        <w:rPr>
          <w:color w:val="000000"/>
        </w:rPr>
        <w:t xml:space="preserve"> This is being amplified by inflation and rising energ</w:t>
      </w:r>
      <w:r>
        <w:t>y prices, which have increased the running costs of social services - in particular those providing health, care and housing-related services;</w:t>
      </w:r>
    </w:p>
    <w:p w14:paraId="6C4861C7" w14:textId="77777777" w:rsidR="002046DE" w:rsidRDefault="002046DE" w:rsidP="001C2CEF">
      <w:pPr>
        <w:pStyle w:val="ListParagraph"/>
        <w:numPr>
          <w:ilvl w:val="0"/>
          <w:numId w:val="16"/>
        </w:numPr>
        <w:pBdr>
          <w:top w:val="nil"/>
          <w:left w:val="nil"/>
          <w:bottom w:val="nil"/>
          <w:right w:val="nil"/>
          <w:between w:val="nil"/>
        </w:pBdr>
        <w:spacing w:after="160"/>
        <w:ind w:right="1248"/>
        <w:jc w:val="both"/>
      </w:pPr>
      <w:r w:rsidRPr="001C2CEF">
        <w:rPr>
          <w:b/>
          <w:bCs/>
        </w:rPr>
        <w:t xml:space="preserve">Staff shortages: </w:t>
      </w:r>
      <w:r w:rsidRPr="001C2CEF">
        <w:rPr>
          <w:color w:val="000000"/>
        </w:rPr>
        <w:t xml:space="preserve">The care and support sector </w:t>
      </w:r>
      <w:proofErr w:type="gramStart"/>
      <w:r w:rsidRPr="001C2CEF">
        <w:rPr>
          <w:color w:val="000000"/>
        </w:rPr>
        <w:t>is</w:t>
      </w:r>
      <w:proofErr w:type="gramEnd"/>
      <w:r w:rsidRPr="001C2CEF">
        <w:rPr>
          <w:color w:val="000000"/>
        </w:rPr>
        <w:t xml:space="preserve"> facing staff shortages across </w:t>
      </w:r>
      <w:r>
        <w:t>all levels of professional qualification and experience, most urgently felt for the personnel which is working directly with people who draw on care and support</w:t>
      </w:r>
      <w:r w:rsidRPr="001C2CEF">
        <w:rPr>
          <w:color w:val="000000"/>
        </w:rPr>
        <w:t>;</w:t>
      </w:r>
    </w:p>
    <w:p w14:paraId="2FDBF160" w14:textId="77777777" w:rsidR="002046DE" w:rsidRDefault="002046DE" w:rsidP="001C2CEF">
      <w:pPr>
        <w:pStyle w:val="ListParagraph"/>
        <w:numPr>
          <w:ilvl w:val="0"/>
          <w:numId w:val="16"/>
        </w:numPr>
        <w:pBdr>
          <w:top w:val="nil"/>
          <w:left w:val="nil"/>
          <w:bottom w:val="nil"/>
          <w:right w:val="nil"/>
          <w:between w:val="nil"/>
        </w:pBdr>
        <w:spacing w:after="160"/>
        <w:ind w:right="1248"/>
        <w:jc w:val="both"/>
      </w:pPr>
      <w:r w:rsidRPr="001C2CEF">
        <w:rPr>
          <w:b/>
          <w:bCs/>
        </w:rPr>
        <w:t>Increasing demand:</w:t>
      </w:r>
      <w:r>
        <w:t xml:space="preserve"> </w:t>
      </w:r>
      <w:r w:rsidRPr="001C2CEF">
        <w:rPr>
          <w:color w:val="000000"/>
        </w:rPr>
        <w:t xml:space="preserve">Changes in the EU’s demography and increases in the cost of living mean that more and more people will </w:t>
      </w:r>
      <w:proofErr w:type="gramStart"/>
      <w:r w:rsidRPr="001C2CEF">
        <w:rPr>
          <w:color w:val="000000"/>
        </w:rPr>
        <w:t>be in need of</w:t>
      </w:r>
      <w:proofErr w:type="gramEnd"/>
      <w:r w:rsidRPr="001C2CEF">
        <w:rPr>
          <w:color w:val="000000"/>
        </w:rPr>
        <w:t xml:space="preserve"> a range of services, whose demand is currently not sufficiently met;</w:t>
      </w:r>
    </w:p>
    <w:p w14:paraId="23C7C0E0" w14:textId="77777777" w:rsidR="002046DE" w:rsidRPr="00907FDD" w:rsidRDefault="002046DE" w:rsidP="001C2CEF">
      <w:pPr>
        <w:pStyle w:val="ListParagraph"/>
        <w:numPr>
          <w:ilvl w:val="0"/>
          <w:numId w:val="16"/>
        </w:numPr>
        <w:pBdr>
          <w:top w:val="nil"/>
          <w:left w:val="nil"/>
          <w:bottom w:val="nil"/>
          <w:right w:val="nil"/>
          <w:between w:val="nil"/>
        </w:pBdr>
        <w:spacing w:after="160"/>
        <w:ind w:right="1248"/>
        <w:jc w:val="both"/>
      </w:pPr>
      <w:r>
        <w:lastRenderedPageBreak/>
        <w:t>In addition, d</w:t>
      </w:r>
      <w:r w:rsidRPr="001C2CEF">
        <w:rPr>
          <w:color w:val="000000"/>
        </w:rPr>
        <w:t xml:space="preserve">igitalisation and artificial intelligence will pose challenges to service delivery, but also opportunities which have not yet sufficiently been explored. </w:t>
      </w:r>
    </w:p>
    <w:p w14:paraId="413F126A" w14:textId="77777777" w:rsidR="002046DE" w:rsidRDefault="002046DE" w:rsidP="00321E47">
      <w:pPr>
        <w:pBdr>
          <w:top w:val="nil"/>
          <w:left w:val="nil"/>
          <w:bottom w:val="nil"/>
          <w:right w:val="nil"/>
          <w:between w:val="nil"/>
        </w:pBdr>
        <w:spacing w:after="160"/>
        <w:ind w:left="709" w:right="1248"/>
        <w:rPr>
          <w:b/>
          <w:color w:val="000000"/>
        </w:rPr>
      </w:pPr>
      <w:r>
        <w:rPr>
          <w:color w:val="000000"/>
        </w:rPr>
        <w:t xml:space="preserve">Social services are among the key players for an effective implementation of the EU’s Social Agenda, including the </w:t>
      </w:r>
      <w:r>
        <w:rPr>
          <w:b/>
          <w:color w:val="000000"/>
        </w:rPr>
        <w:t>European Pillar of Social Rights</w:t>
      </w:r>
      <w:r>
        <w:rPr>
          <w:color w:val="000000"/>
        </w:rPr>
        <w:t xml:space="preserve">, the </w:t>
      </w:r>
      <w:r>
        <w:rPr>
          <w:b/>
          <w:color w:val="000000"/>
        </w:rPr>
        <w:t>European Disability Rights Strategy</w:t>
      </w:r>
      <w:r>
        <w:rPr>
          <w:color w:val="000000"/>
        </w:rPr>
        <w:t xml:space="preserve">, the </w:t>
      </w:r>
      <w:r>
        <w:rPr>
          <w:b/>
          <w:color w:val="000000"/>
        </w:rPr>
        <w:t>EU</w:t>
      </w:r>
      <w:r>
        <w:rPr>
          <w:color w:val="000000"/>
        </w:rPr>
        <w:t xml:space="preserve"> </w:t>
      </w:r>
      <w:r>
        <w:rPr>
          <w:b/>
          <w:color w:val="000000"/>
        </w:rPr>
        <w:t>Strategy on the Rights of the Child</w:t>
      </w:r>
      <w:r>
        <w:rPr>
          <w:color w:val="000000"/>
        </w:rPr>
        <w:t xml:space="preserve">, the </w:t>
      </w:r>
      <w:r>
        <w:rPr>
          <w:b/>
          <w:color w:val="000000"/>
        </w:rPr>
        <w:t>European Child Guarantee</w:t>
      </w:r>
      <w:r>
        <w:rPr>
          <w:color w:val="000000"/>
        </w:rPr>
        <w:t xml:space="preserve">, the </w:t>
      </w:r>
      <w:r>
        <w:rPr>
          <w:b/>
          <w:color w:val="000000"/>
        </w:rPr>
        <w:t>European Care Strategy</w:t>
      </w:r>
      <w:r>
        <w:rPr>
          <w:color w:val="000000"/>
        </w:rPr>
        <w:t xml:space="preserve">, the </w:t>
      </w:r>
      <w:r>
        <w:rPr>
          <w:b/>
          <w:color w:val="000000"/>
        </w:rPr>
        <w:t>S</w:t>
      </w:r>
      <w:r>
        <w:rPr>
          <w:b/>
        </w:rPr>
        <w:t>ocial Economy Action Plan,</w:t>
      </w:r>
      <w:r>
        <w:rPr>
          <w:color w:val="000000"/>
        </w:rPr>
        <w:t xml:space="preserve"> the </w:t>
      </w:r>
      <w:r>
        <w:rPr>
          <w:b/>
          <w:color w:val="000000"/>
        </w:rPr>
        <w:t>Europe</w:t>
      </w:r>
      <w:r>
        <w:rPr>
          <w:b/>
        </w:rPr>
        <w:t xml:space="preserve">an </w:t>
      </w:r>
      <w:r>
        <w:rPr>
          <w:b/>
          <w:color w:val="000000"/>
        </w:rPr>
        <w:t xml:space="preserve">Platform on </w:t>
      </w:r>
      <w:r>
        <w:rPr>
          <w:b/>
        </w:rPr>
        <w:t>Combating</w:t>
      </w:r>
      <w:r>
        <w:rPr>
          <w:b/>
          <w:color w:val="000000"/>
        </w:rPr>
        <w:t xml:space="preserve"> Homelessness, </w:t>
      </w:r>
      <w:r>
        <w:rPr>
          <w:color w:val="000000"/>
        </w:rPr>
        <w:t>as well as the</w:t>
      </w:r>
      <w:r>
        <w:rPr>
          <w:b/>
          <w:color w:val="000000"/>
        </w:rPr>
        <w:t xml:space="preserve"> future EU </w:t>
      </w:r>
      <w:r>
        <w:rPr>
          <w:b/>
        </w:rPr>
        <w:t>A</w:t>
      </w:r>
      <w:r>
        <w:rPr>
          <w:b/>
          <w:color w:val="000000"/>
        </w:rPr>
        <w:t>nti-</w:t>
      </w:r>
      <w:r>
        <w:rPr>
          <w:b/>
        </w:rPr>
        <w:t>P</w:t>
      </w:r>
      <w:r>
        <w:rPr>
          <w:b/>
          <w:color w:val="000000"/>
        </w:rPr>
        <w:t xml:space="preserve">overty </w:t>
      </w:r>
      <w:r>
        <w:rPr>
          <w:b/>
        </w:rPr>
        <w:t>S</w:t>
      </w:r>
      <w:r>
        <w:rPr>
          <w:b/>
          <w:color w:val="000000"/>
        </w:rPr>
        <w:t>trategy.</w:t>
      </w:r>
    </w:p>
    <w:p w14:paraId="6A005F29" w14:textId="77777777" w:rsidR="001B3AFB" w:rsidRDefault="00B165C9" w:rsidP="00B165C9">
      <w:pPr>
        <w:pBdr>
          <w:top w:val="nil"/>
          <w:left w:val="nil"/>
          <w:bottom w:val="nil"/>
          <w:right w:val="nil"/>
          <w:between w:val="nil"/>
        </w:pBdr>
        <w:spacing w:after="160"/>
        <w:ind w:left="709" w:right="1248"/>
        <w:rPr>
          <w:b/>
          <w:color w:val="000000"/>
        </w:rPr>
      </w:pPr>
      <w:r w:rsidRPr="00B165C9">
        <w:rPr>
          <w:bCs/>
          <w:color w:val="000000"/>
        </w:rPr>
        <w:t>However, we are now</w:t>
      </w:r>
      <w:r w:rsidRPr="00B165C9">
        <w:rPr>
          <w:b/>
          <w:color w:val="000000"/>
        </w:rPr>
        <w:t xml:space="preserve"> </w:t>
      </w:r>
      <w:r w:rsidRPr="00B165C9">
        <w:rPr>
          <w:b/>
          <w:bCs/>
          <w:color w:val="000000"/>
        </w:rPr>
        <w:t>deeply concerned </w:t>
      </w:r>
      <w:r w:rsidRPr="00B165C9">
        <w:rPr>
          <w:b/>
          <w:color w:val="000000"/>
        </w:rPr>
        <w:t>about a trend</w:t>
      </w:r>
      <w:r w:rsidR="001B3AFB">
        <w:rPr>
          <w:b/>
          <w:color w:val="000000"/>
        </w:rPr>
        <w:t xml:space="preserve"> of </w:t>
      </w:r>
      <w:r w:rsidRPr="00B165C9">
        <w:rPr>
          <w:b/>
          <w:color w:val="000000"/>
        </w:rPr>
        <w:t xml:space="preserve">growing de-prioritisation of social inclusion and the social economy in the new Commission’s political and funding agenda. </w:t>
      </w:r>
    </w:p>
    <w:p w14:paraId="1A8904A0" w14:textId="159E03B1" w:rsidR="00B165C9" w:rsidRPr="00B165C9" w:rsidRDefault="00B165C9" w:rsidP="00094006">
      <w:pPr>
        <w:pBdr>
          <w:top w:val="nil"/>
          <w:left w:val="nil"/>
          <w:bottom w:val="nil"/>
          <w:right w:val="nil"/>
          <w:between w:val="nil"/>
        </w:pBdr>
        <w:ind w:left="709" w:right="1247"/>
        <w:rPr>
          <w:bCs/>
          <w:color w:val="000000"/>
        </w:rPr>
      </w:pPr>
      <w:r w:rsidRPr="00B165C9">
        <w:rPr>
          <w:bCs/>
          <w:color w:val="000000"/>
        </w:rPr>
        <w:t>We see worrying signs:</w:t>
      </w:r>
    </w:p>
    <w:p w14:paraId="158327BF" w14:textId="54DDF7D6" w:rsidR="00B165C9" w:rsidRPr="00B165C9" w:rsidRDefault="00B165C9" w:rsidP="00094006">
      <w:pPr>
        <w:numPr>
          <w:ilvl w:val="0"/>
          <w:numId w:val="18"/>
        </w:numPr>
        <w:pBdr>
          <w:top w:val="nil"/>
          <w:left w:val="nil"/>
          <w:bottom w:val="nil"/>
          <w:right w:val="nil"/>
          <w:between w:val="nil"/>
        </w:pBdr>
        <w:ind w:right="1247"/>
        <w:rPr>
          <w:bCs/>
          <w:color w:val="000000"/>
        </w:rPr>
      </w:pPr>
      <w:r w:rsidRPr="00B165C9">
        <w:rPr>
          <w:bCs/>
          <w:color w:val="000000"/>
        </w:rPr>
        <w:t xml:space="preserve">The </w:t>
      </w:r>
      <w:hyperlink r:id="rId12" w:history="1">
        <w:r w:rsidR="007C7DAC" w:rsidRPr="00094006">
          <w:rPr>
            <w:rStyle w:val="Hyperlink"/>
            <w:b/>
          </w:rPr>
          <w:t>redirection</w:t>
        </w:r>
      </w:hyperlink>
      <w:r w:rsidR="007C7DAC" w:rsidRPr="00094006">
        <w:rPr>
          <w:b/>
          <w:color w:val="000000"/>
        </w:rPr>
        <w:t xml:space="preserve"> </w:t>
      </w:r>
      <w:r w:rsidRPr="00B165C9">
        <w:rPr>
          <w:b/>
          <w:color w:val="000000"/>
        </w:rPr>
        <w:t xml:space="preserve">of current </w:t>
      </w:r>
      <w:r w:rsidR="0098276A" w:rsidRPr="00094006">
        <w:rPr>
          <w:b/>
          <w:color w:val="000000"/>
        </w:rPr>
        <w:t>ESF+</w:t>
      </w:r>
      <w:r w:rsidRPr="00B165C9">
        <w:rPr>
          <w:b/>
          <w:color w:val="000000"/>
        </w:rPr>
        <w:t xml:space="preserve"> funding</w:t>
      </w:r>
      <w:r w:rsidRPr="00B165C9">
        <w:rPr>
          <w:bCs/>
          <w:color w:val="000000"/>
        </w:rPr>
        <w:t xml:space="preserve"> towards the new defence and competitiveness priorities, </w:t>
      </w:r>
    </w:p>
    <w:p w14:paraId="63989803" w14:textId="513F8B92" w:rsidR="00B165C9" w:rsidRPr="00B165C9" w:rsidRDefault="00B165C9" w:rsidP="00094006">
      <w:pPr>
        <w:numPr>
          <w:ilvl w:val="0"/>
          <w:numId w:val="18"/>
        </w:numPr>
        <w:pBdr>
          <w:top w:val="nil"/>
          <w:left w:val="nil"/>
          <w:bottom w:val="nil"/>
          <w:right w:val="nil"/>
          <w:between w:val="nil"/>
        </w:pBdr>
        <w:ind w:right="1247"/>
        <w:rPr>
          <w:bCs/>
          <w:color w:val="000000"/>
        </w:rPr>
      </w:pPr>
      <w:r w:rsidRPr="00B165C9">
        <w:rPr>
          <w:bCs/>
          <w:color w:val="000000"/>
        </w:rPr>
        <w:t xml:space="preserve">The </w:t>
      </w:r>
      <w:r w:rsidRPr="00B165C9">
        <w:rPr>
          <w:b/>
          <w:color w:val="000000"/>
        </w:rPr>
        <w:t>dismantling of the Social Economy Unit within DG GROW</w:t>
      </w:r>
      <w:r w:rsidRPr="00B165C9">
        <w:rPr>
          <w:bCs/>
          <w:color w:val="000000"/>
        </w:rPr>
        <w:t>, which comes at the worst possible time</w:t>
      </w:r>
      <w:r w:rsidR="00094006">
        <w:rPr>
          <w:bCs/>
          <w:color w:val="000000"/>
        </w:rPr>
        <w:t>, when l</w:t>
      </w:r>
      <w:r w:rsidRPr="00B165C9">
        <w:rPr>
          <w:bCs/>
          <w:color w:val="000000"/>
        </w:rPr>
        <w:t>aws such as public procurement, state aid, and the EU budget — all of which play a critical role in enabling care and support for millions of persons— are under review or will soon be revised.</w:t>
      </w:r>
    </w:p>
    <w:p w14:paraId="700C8BD2" w14:textId="77777777" w:rsidR="00B165C9" w:rsidRDefault="00B165C9" w:rsidP="00094006">
      <w:pPr>
        <w:numPr>
          <w:ilvl w:val="0"/>
          <w:numId w:val="18"/>
        </w:numPr>
        <w:pBdr>
          <w:top w:val="nil"/>
          <w:left w:val="nil"/>
          <w:bottom w:val="nil"/>
          <w:right w:val="nil"/>
          <w:between w:val="nil"/>
        </w:pBdr>
        <w:ind w:right="1247"/>
        <w:rPr>
          <w:bCs/>
          <w:color w:val="000000"/>
        </w:rPr>
      </w:pPr>
      <w:r w:rsidRPr="00B165C9">
        <w:rPr>
          <w:bCs/>
          <w:color w:val="000000"/>
        </w:rPr>
        <w:t>Also, the sudden</w:t>
      </w:r>
      <w:r w:rsidRPr="00B165C9">
        <w:rPr>
          <w:b/>
          <w:color w:val="000000"/>
        </w:rPr>
        <w:t xml:space="preserve"> cancellation of COSME calls</w:t>
      </w:r>
      <w:r w:rsidRPr="00B165C9">
        <w:rPr>
          <w:bCs/>
          <w:color w:val="000000"/>
        </w:rPr>
        <w:t>, which has been a vital tool to help social economy actors grow and innovate. Cutting it back undermines the development of a sector that is crucial for economic resilience and social cohesion.</w:t>
      </w:r>
    </w:p>
    <w:p w14:paraId="241AE3BC" w14:textId="77777777" w:rsidR="00094006" w:rsidRPr="00B165C9" w:rsidRDefault="00094006" w:rsidP="00094006">
      <w:pPr>
        <w:pBdr>
          <w:top w:val="nil"/>
          <w:left w:val="nil"/>
          <w:bottom w:val="nil"/>
          <w:right w:val="nil"/>
          <w:between w:val="nil"/>
        </w:pBdr>
        <w:ind w:left="709" w:right="1247"/>
        <w:rPr>
          <w:bCs/>
          <w:color w:val="000000"/>
        </w:rPr>
      </w:pPr>
    </w:p>
    <w:p w14:paraId="76681668" w14:textId="0DDA3D54" w:rsidR="00FD615D" w:rsidRDefault="004763F5" w:rsidP="57FFF7FB">
      <w:pPr>
        <w:pBdr>
          <w:top w:val="nil"/>
          <w:left w:val="nil"/>
          <w:bottom w:val="nil"/>
          <w:right w:val="nil"/>
          <w:between w:val="nil"/>
        </w:pBdr>
        <w:spacing w:after="160"/>
        <w:ind w:left="709" w:right="1248"/>
      </w:pPr>
      <w:r w:rsidRPr="57FFF7FB">
        <w:rPr>
          <w:color w:val="000000" w:themeColor="text1"/>
        </w:rPr>
        <w:t xml:space="preserve">The structure of this consultation, suggest a concrete risk of </w:t>
      </w:r>
      <w:r w:rsidR="007C7DAC" w:rsidRPr="57FFF7FB">
        <w:rPr>
          <w:b/>
          <w:bCs/>
          <w:color w:val="000000" w:themeColor="text1"/>
        </w:rPr>
        <w:t>reductions</w:t>
      </w:r>
      <w:r w:rsidR="007C7DAC" w:rsidRPr="57FFF7FB">
        <w:rPr>
          <w:color w:val="000000" w:themeColor="text1"/>
        </w:rPr>
        <w:t xml:space="preserve"> an</w:t>
      </w:r>
      <w:r w:rsidR="008A0557" w:rsidRPr="57FFF7FB">
        <w:rPr>
          <w:color w:val="000000" w:themeColor="text1"/>
        </w:rPr>
        <w:t xml:space="preserve">d </w:t>
      </w:r>
      <w:r w:rsidR="007C7DAC" w:rsidRPr="57FFF7FB">
        <w:rPr>
          <w:b/>
          <w:bCs/>
          <w:color w:val="000000" w:themeColor="text1"/>
        </w:rPr>
        <w:t>merging</w:t>
      </w:r>
      <w:r w:rsidR="007C7DAC" w:rsidRPr="57FFF7FB">
        <w:rPr>
          <w:color w:val="000000" w:themeColor="text1"/>
        </w:rPr>
        <w:t xml:space="preserve"> </w:t>
      </w:r>
      <w:r w:rsidR="008A0557" w:rsidRPr="57FFF7FB">
        <w:rPr>
          <w:color w:val="000000" w:themeColor="text1"/>
        </w:rPr>
        <w:t>and</w:t>
      </w:r>
      <w:r w:rsidR="008A0557" w:rsidRPr="57FFF7FB">
        <w:rPr>
          <w:b/>
          <w:bCs/>
          <w:color w:val="000000" w:themeColor="text1"/>
        </w:rPr>
        <w:t xml:space="preserve"> de-regulation</w:t>
      </w:r>
      <w:r w:rsidR="008A0557" w:rsidRPr="57FFF7FB">
        <w:rPr>
          <w:color w:val="000000" w:themeColor="text1"/>
        </w:rPr>
        <w:t xml:space="preserve"> </w:t>
      </w:r>
      <w:r w:rsidR="007C7DAC" w:rsidRPr="57FFF7FB">
        <w:rPr>
          <w:color w:val="000000" w:themeColor="text1"/>
        </w:rPr>
        <w:t xml:space="preserve">of </w:t>
      </w:r>
      <w:r w:rsidR="00A36101" w:rsidRPr="57FFF7FB">
        <w:rPr>
          <w:color w:val="000000" w:themeColor="text1"/>
        </w:rPr>
        <w:t>cohesion</w:t>
      </w:r>
      <w:r w:rsidR="007C7DAC" w:rsidRPr="57FFF7FB">
        <w:rPr>
          <w:color w:val="000000" w:themeColor="text1"/>
        </w:rPr>
        <w:t xml:space="preserve"> funds</w:t>
      </w:r>
      <w:r w:rsidR="00A36101" w:rsidRPr="57FFF7FB">
        <w:rPr>
          <w:color w:val="000000" w:themeColor="text1"/>
        </w:rPr>
        <w:t xml:space="preserve">, including the </w:t>
      </w:r>
      <w:r w:rsidR="007C7DAC" w:rsidRPr="57FFF7FB">
        <w:rPr>
          <w:color w:val="000000" w:themeColor="text1"/>
        </w:rPr>
        <w:t>ESF+ which is a key instrument for social reform and inclusion</w:t>
      </w:r>
      <w:r w:rsidR="00A36101" w:rsidRPr="57FFF7FB">
        <w:rPr>
          <w:color w:val="000000" w:themeColor="text1"/>
        </w:rPr>
        <w:t>, and</w:t>
      </w:r>
      <w:r w:rsidR="00947306" w:rsidRPr="57FFF7FB">
        <w:rPr>
          <w:color w:val="000000" w:themeColor="text1"/>
        </w:rPr>
        <w:t xml:space="preserve"> that today has clear allocation to social inclusion and fight of child poverty. Reducing </w:t>
      </w:r>
      <w:r w:rsidR="00F10039" w:rsidRPr="57FFF7FB">
        <w:rPr>
          <w:color w:val="000000" w:themeColor="text1"/>
        </w:rPr>
        <w:t>its scope and the indication</w:t>
      </w:r>
      <w:r w:rsidR="008640B4" w:rsidRPr="57FFF7FB">
        <w:rPr>
          <w:color w:val="000000" w:themeColor="text1"/>
        </w:rPr>
        <w:t>s</w:t>
      </w:r>
      <w:r w:rsidR="00F10039" w:rsidRPr="57FFF7FB">
        <w:rPr>
          <w:color w:val="000000" w:themeColor="text1"/>
        </w:rPr>
        <w:t xml:space="preserve"> to Member States </w:t>
      </w:r>
      <w:r w:rsidR="008640B4" w:rsidRPr="57FFF7FB">
        <w:rPr>
          <w:color w:val="000000" w:themeColor="text1"/>
        </w:rPr>
        <w:t xml:space="preserve">is a serious threat to inclusion and quality of life of marginalised </w:t>
      </w:r>
      <w:r w:rsidR="003B6181" w:rsidRPr="57FFF7FB">
        <w:rPr>
          <w:color w:val="000000" w:themeColor="text1"/>
        </w:rPr>
        <w:t>individuals. EASPD</w:t>
      </w:r>
      <w:r w:rsidR="00785D78" w:rsidRPr="57FFF7FB">
        <w:rPr>
          <w:color w:val="000000" w:themeColor="text1"/>
        </w:rPr>
        <w:t xml:space="preserve"> is aware of </w:t>
      </w:r>
      <w:r w:rsidR="00FD615D">
        <w:t>the importance of addressing these challenges</w:t>
      </w:r>
      <w:r w:rsidR="00785D78">
        <w:t xml:space="preserve"> and le</w:t>
      </w:r>
      <w:r w:rsidR="43A77E45">
        <w:t>d</w:t>
      </w:r>
      <w:r w:rsidR="00785D78">
        <w:t xml:space="preserve"> the writing of a </w:t>
      </w:r>
      <w:hyperlink r:id="rId13">
        <w:r w:rsidR="00785D78" w:rsidRPr="57FFF7FB">
          <w:rPr>
            <w:rStyle w:val="Hyperlink"/>
          </w:rPr>
          <w:t>joint statement</w:t>
        </w:r>
      </w:hyperlink>
      <w:r w:rsidR="00FD615D">
        <w:t>, in March 2025</w:t>
      </w:r>
      <w:r w:rsidR="00895347">
        <w:t xml:space="preserve">, calling for </w:t>
      </w:r>
      <w:r w:rsidR="00895347" w:rsidRPr="57FFF7FB">
        <w:rPr>
          <w:b/>
          <w:bCs/>
        </w:rPr>
        <w:t xml:space="preserve">greater ambition and investment in social </w:t>
      </w:r>
      <w:r w:rsidR="00563D10" w:rsidRPr="57FFF7FB">
        <w:rPr>
          <w:b/>
          <w:bCs/>
        </w:rPr>
        <w:t>inclusion</w:t>
      </w:r>
      <w:r w:rsidR="00895347">
        <w:t>, with concrete demands to ensure that no one is left behind</w:t>
      </w:r>
      <w:r w:rsidR="00785D78">
        <w:t xml:space="preserve">. </w:t>
      </w:r>
      <w:r w:rsidR="00FD615D">
        <w:t xml:space="preserve"> </w:t>
      </w:r>
      <w:r w:rsidR="00895347">
        <w:t>M</w:t>
      </w:r>
      <w:r w:rsidR="00FD615D">
        <w:t>ore than 250 organisations came together a</w:t>
      </w:r>
      <w:r w:rsidR="00895347">
        <w:t>n</w:t>
      </w:r>
      <w:r w:rsidR="40CBB2D3">
        <w:t>d</w:t>
      </w:r>
      <w:r w:rsidR="00895347">
        <w:t xml:space="preserve"> supported the statement, </w:t>
      </w:r>
      <w:r w:rsidR="00261FEC">
        <w:t xml:space="preserve">including EU networks representing social economy, training sector, </w:t>
      </w:r>
      <w:r w:rsidR="00060D47">
        <w:t>and representative of vulnerable populations</w:t>
      </w:r>
      <w:r w:rsidR="00752130">
        <w:t xml:space="preserve">, along with national organisations from </w:t>
      </w:r>
      <w:r w:rsidR="008D438B">
        <w:t>33 countries</w:t>
      </w:r>
      <w:r w:rsidR="00FD615D">
        <w:t>. This broad mobilisation highlights the consensus across the sector about the urgent need for stronger support, particularly in the upcoming EU budget cycle.</w:t>
      </w:r>
    </w:p>
    <w:p w14:paraId="12309ABB" w14:textId="086F7877" w:rsidR="00FD615D" w:rsidRDefault="00FD615D" w:rsidP="00FD615D">
      <w:pPr>
        <w:spacing w:after="160"/>
        <w:ind w:left="709" w:right="1248"/>
        <w:rPr>
          <w:bCs/>
        </w:rPr>
      </w:pPr>
      <w:r w:rsidRPr="00FD615D">
        <w:rPr>
          <w:bCs/>
        </w:rPr>
        <w:t xml:space="preserve">To ensure that social services can cope with the challenges described </w:t>
      </w:r>
      <w:proofErr w:type="gramStart"/>
      <w:r w:rsidRPr="00FD615D">
        <w:rPr>
          <w:bCs/>
        </w:rPr>
        <w:t>above, and</w:t>
      </w:r>
      <w:proofErr w:type="gramEnd"/>
      <w:r w:rsidRPr="00FD615D">
        <w:rPr>
          <w:bCs/>
        </w:rPr>
        <w:t xml:space="preserve"> can play their key role in the implementation of the EU’s Social Agenda, it is of great importance that the next Multiannual Financial Framework (MFF) contains a Social Fund with an adequate budget and priorities and with an effective governance structure, which can be taken up by social services. In order to achieve this, the next section outlines six key recommendations.</w:t>
      </w:r>
    </w:p>
    <w:p w14:paraId="67B34089" w14:textId="77777777" w:rsidR="002046DE" w:rsidRDefault="002046DE" w:rsidP="00321E47">
      <w:pPr>
        <w:tabs>
          <w:tab w:val="left" w:pos="993"/>
        </w:tabs>
        <w:spacing w:after="160"/>
        <w:ind w:left="1134" w:right="1248"/>
        <w:rPr>
          <w:b/>
          <w:color w:val="156082"/>
        </w:rPr>
      </w:pPr>
      <w:r>
        <w:rPr>
          <w:b/>
          <w:color w:val="156082"/>
        </w:rPr>
        <w:t>Recommendation 1: Ensure an adequate and dedicated Social</w:t>
      </w:r>
      <w:r>
        <w:rPr>
          <w:b/>
          <w:color w:val="FF0000"/>
        </w:rPr>
        <w:t xml:space="preserve"> </w:t>
      </w:r>
      <w:r>
        <w:rPr>
          <w:b/>
          <w:color w:val="156082"/>
        </w:rPr>
        <w:t>Fund to fully implement the European Pillar of Social Rights</w:t>
      </w:r>
    </w:p>
    <w:p w14:paraId="79985C0C" w14:textId="44A3420B" w:rsidR="002046DE" w:rsidRDefault="002046DE" w:rsidP="00321E47">
      <w:pPr>
        <w:tabs>
          <w:tab w:val="left" w:pos="993"/>
        </w:tabs>
        <w:spacing w:after="160"/>
        <w:ind w:left="1134" w:right="1248"/>
      </w:pPr>
      <w:r>
        <w:t xml:space="preserve">Over the past years, EU funds have contributed to pilot and spread innovative services and approaches such as Housing First and low-threshold social counselling for people in vulnerable situations, and have </w:t>
      </w:r>
      <w:r>
        <w:lastRenderedPageBreak/>
        <w:t xml:space="preserve">fostered social transitions and reforms, such as the transition from institutional to community-based care and support. In order to keep on doing so, and to deliver on the </w:t>
      </w:r>
      <w:r>
        <w:rPr>
          <w:b/>
        </w:rPr>
        <w:t xml:space="preserve">European Pillar of Social Rights </w:t>
      </w:r>
      <w:r>
        <w:t xml:space="preserve">and other social policy frameworks, </w:t>
      </w:r>
      <w:r>
        <w:rPr>
          <w:b/>
        </w:rPr>
        <w:t>it is of utmost importance that EU funds are specifically available for social inclusion and innovation in the upcoming MFF</w:t>
      </w:r>
      <w:r>
        <w:t xml:space="preserve">. </w:t>
      </w:r>
    </w:p>
    <w:p w14:paraId="65103689" w14:textId="77777777" w:rsidR="002046DE" w:rsidRPr="00907FDD" w:rsidRDefault="002046DE" w:rsidP="00321E47">
      <w:pPr>
        <w:tabs>
          <w:tab w:val="left" w:pos="993"/>
        </w:tabs>
        <w:spacing w:after="160"/>
        <w:ind w:left="1134" w:right="1248"/>
        <w:rPr>
          <w:b/>
          <w:vertAlign w:val="superscript"/>
        </w:rPr>
      </w:pPr>
      <w:r>
        <w:t>In order to ensure that social priorities are not being overshadowed by other priorities and potential future crises, it is important that there will be</w:t>
      </w:r>
      <w:r>
        <w:rPr>
          <w:b/>
        </w:rPr>
        <w:t xml:space="preserve"> a fund specifically dedicated to social policy, i.e. a successor to the current ESF+, which is not merged with any other new or existing EU fund</w:t>
      </w:r>
      <w:r>
        <w:t xml:space="preserve">. Having a specific Social Fund and dedicated budget is also needed to ensure alignment with social services' needs. </w:t>
      </w:r>
      <w:r>
        <w:rPr>
          <w:b/>
        </w:rPr>
        <w:t>Research by the Helpdesk project found that this approach has indeed been effective in the current funding period: 60% of the social services thought that the priorities set by the EU are in line with their own, and that EU projects can fund the activities they really need.</w:t>
      </w:r>
      <w:r>
        <w:rPr>
          <w:b/>
          <w:vertAlign w:val="superscript"/>
        </w:rPr>
        <w:footnoteReference w:id="2"/>
      </w:r>
      <w:r>
        <w:rPr>
          <w:b/>
          <w:vertAlign w:val="superscript"/>
        </w:rPr>
        <w:t xml:space="preserve">  </w:t>
      </w:r>
    </w:p>
    <w:p w14:paraId="3A09217A" w14:textId="77777777" w:rsidR="002046DE" w:rsidRDefault="002046DE" w:rsidP="00321E47">
      <w:pPr>
        <w:tabs>
          <w:tab w:val="left" w:pos="993"/>
        </w:tabs>
        <w:spacing w:after="160"/>
        <w:ind w:left="1134" w:right="1248"/>
      </w:pPr>
      <w:r>
        <w:t xml:space="preserve">To ensure the future Social Fund delivers on the full European Pillar of Social Rights and its 20 principles, as part of the Action Plan on the Implementation of the European Pillar of Social Rights (2025), the EU should </w:t>
      </w:r>
      <w:r>
        <w:rPr>
          <w:b/>
        </w:rPr>
        <w:t>increase and leverage budget to the growing needs for each of its three chapters, namely: 1. Equal opportunities and access to the labour market; 2. Fair working conditions; and 3. Social protection and inclusion</w:t>
      </w:r>
      <w:r>
        <w:t xml:space="preserve">. To ensure the third chapter is not being overshadowed by the former two, it is important </w:t>
      </w:r>
      <w:r>
        <w:rPr>
          <w:b/>
        </w:rPr>
        <w:t>that the future Regulation earmarks at least 25% for social inclusion</w:t>
      </w:r>
      <w:r>
        <w:t>. Moreover, the future Social Fund should encourage investments in line with the principles and objectives of the</w:t>
      </w:r>
      <w:r>
        <w:rPr>
          <w:b/>
        </w:rPr>
        <w:t xml:space="preserve"> Active Inclusion</w:t>
      </w:r>
      <w:r>
        <w:t xml:space="preserve"> </w:t>
      </w:r>
      <w:r>
        <w:rPr>
          <w:b/>
        </w:rPr>
        <w:t>Approach</w:t>
      </w:r>
      <w:r>
        <w:t>, applying a holistic approach to inclusion, by combining adequate income support, inclusive labour market measures, and access to services. B</w:t>
      </w:r>
      <w:r w:rsidRPr="00EF753A">
        <w:t>y delivering quality, effective and innovative social services.</w:t>
      </w:r>
      <w:r>
        <w:t xml:space="preserve">, the fund will comprehensively contribute to fighting poverty and ensuring an active workforce that will help deliver on the EU’s competitiveness goals. </w:t>
      </w:r>
    </w:p>
    <w:p w14:paraId="0B561AE4" w14:textId="77777777" w:rsidR="002046DE" w:rsidRDefault="002046DE" w:rsidP="00321E47">
      <w:pPr>
        <w:tabs>
          <w:tab w:val="left" w:pos="993"/>
        </w:tabs>
        <w:spacing w:after="160"/>
        <w:ind w:left="1134" w:right="1248"/>
      </w:pPr>
      <w:r>
        <w:t>In addition, other funds, such as the European Regional Development Fund, the Just Transition Fund, ERASMUS+ and the Asylum, Migration and Integration Fund should also have a strong social component to ensure different needs of the most vulnerable population are being met, and to ensure complementarity between the funds. In this regard, new rules should allow for the ability to combine and blend funding from different Funds in the pursuit of social objectives.</w:t>
      </w:r>
    </w:p>
    <w:p w14:paraId="41148460" w14:textId="77777777" w:rsidR="008A34E6" w:rsidRDefault="008A34E6" w:rsidP="00321E47">
      <w:pPr>
        <w:tabs>
          <w:tab w:val="left" w:pos="993"/>
        </w:tabs>
        <w:spacing w:after="160"/>
        <w:ind w:left="1134" w:right="1248"/>
      </w:pPr>
    </w:p>
    <w:p w14:paraId="5A81CEEF" w14:textId="137FA819" w:rsidR="00771A2F" w:rsidRDefault="00771A2F" w:rsidP="00321E47">
      <w:pPr>
        <w:tabs>
          <w:tab w:val="left" w:pos="993"/>
        </w:tabs>
        <w:spacing w:after="160"/>
        <w:ind w:left="1134" w:right="1248"/>
        <w:rPr>
          <w:b/>
          <w:color w:val="156082"/>
        </w:rPr>
      </w:pPr>
      <w:r>
        <w:rPr>
          <w:b/>
          <w:color w:val="156082"/>
        </w:rPr>
        <w:t xml:space="preserve">Recommendation 2: Ensure dedicated budget and earmarking of the future </w:t>
      </w:r>
      <w:r w:rsidR="00FE27BF">
        <w:rPr>
          <w:b/>
          <w:color w:val="156082"/>
        </w:rPr>
        <w:t>Social Fund</w:t>
      </w:r>
      <w:r>
        <w:rPr>
          <w:b/>
          <w:color w:val="156082"/>
        </w:rPr>
        <w:t xml:space="preserve"> to </w:t>
      </w:r>
      <w:r w:rsidR="00185048">
        <w:rPr>
          <w:b/>
          <w:color w:val="156082"/>
        </w:rPr>
        <w:t>fight child poverty and social exclusion</w:t>
      </w:r>
    </w:p>
    <w:p w14:paraId="250F3B85" w14:textId="77777777" w:rsidR="008A34E6" w:rsidRDefault="008A34E6" w:rsidP="008A34E6">
      <w:pPr>
        <w:tabs>
          <w:tab w:val="left" w:pos="993"/>
        </w:tabs>
        <w:spacing w:after="160"/>
        <w:ind w:left="1134" w:right="1248"/>
      </w:pPr>
      <w:r>
        <w:t xml:space="preserve">According to </w:t>
      </w:r>
      <w:hyperlink r:id="rId14" w:history="1">
        <w:r w:rsidRPr="00EB2B24">
          <w:rPr>
            <w:rStyle w:val="Hyperlink"/>
          </w:rPr>
          <w:t>Eurostat</w:t>
        </w:r>
      </w:hyperlink>
      <w:r>
        <w:t xml:space="preserve">, from 2019 to 2023, the number of children at risk of poverty and social exclusion rose from 19 million (23.6%) to nearly 20 million (24.8%), an increase of approximately 4.2%. This worsening crisis stems from compounding factors, including the long-term impact of the COVID-19 pandemic, the ongoing cost-of-living crisis, and climate change. These challenges have disproportionately </w:t>
      </w:r>
      <w:r>
        <w:lastRenderedPageBreak/>
        <w:t>affected children and families in vulnerable situations. Economic shocks have stretched already limited resources, and in many cases, funding for social policies designed to protect the most at risk is being diverted elsewhere, a particularly troubling trend in the context of the EU’s post-pandemic recovery.</w:t>
      </w:r>
    </w:p>
    <w:p w14:paraId="6C9E2489" w14:textId="77777777" w:rsidR="008636F9" w:rsidRDefault="00771A2F" w:rsidP="00321E47">
      <w:pPr>
        <w:tabs>
          <w:tab w:val="left" w:pos="993"/>
        </w:tabs>
        <w:spacing w:after="160"/>
        <w:ind w:left="1134" w:right="1248"/>
      </w:pPr>
      <w:r>
        <w:t>T</w:t>
      </w:r>
      <w:r w:rsidR="008237BF">
        <w:t xml:space="preserve">he </w:t>
      </w:r>
      <w:r w:rsidR="008237BF" w:rsidRPr="00BE3182">
        <w:rPr>
          <w:b/>
          <w:bCs/>
        </w:rPr>
        <w:t>European Child Guarantee</w:t>
      </w:r>
      <w:r w:rsidR="008237BF">
        <w:t xml:space="preserve"> represents a once-in-a-generation opportunity to combat child and family poverty and social exclusion.</w:t>
      </w:r>
      <w:r w:rsidR="00FA38DF">
        <w:t xml:space="preserve"> One of the most powerful aspects of the Child Guarantee is its ability to financially support the setting up of new social inclusion initiatives across the EU</w:t>
      </w:r>
      <w:r w:rsidR="00786449">
        <w:t xml:space="preserve">, where National Action Plans acted as </w:t>
      </w:r>
      <w:r w:rsidR="007079FD" w:rsidRPr="007079FD">
        <w:t>a powerful</w:t>
      </w:r>
      <w:r w:rsidR="007079FD" w:rsidRPr="00BE3182">
        <w:rPr>
          <w:b/>
          <w:bCs/>
        </w:rPr>
        <w:t xml:space="preserve"> incubator for innovation</w:t>
      </w:r>
      <w:r w:rsidR="00FA38DF">
        <w:t>.</w:t>
      </w:r>
      <w:r w:rsidR="00546805">
        <w:t xml:space="preserve"> </w:t>
      </w:r>
      <w:r w:rsidR="00FC3C34">
        <w:t>In this context,</w:t>
      </w:r>
      <w:r w:rsidR="00546805">
        <w:t xml:space="preserve"> </w:t>
      </w:r>
      <w:r w:rsidR="008F44C6">
        <w:t xml:space="preserve">we join the call of the </w:t>
      </w:r>
      <w:hyperlink r:id="rId15" w:history="1">
        <w:r w:rsidR="008F44C6" w:rsidRPr="00430F99">
          <w:rPr>
            <w:rStyle w:val="Hyperlink"/>
          </w:rPr>
          <w:t>Alliance for Investing in Children</w:t>
        </w:r>
      </w:hyperlink>
      <w:r w:rsidR="00430F99">
        <w:t xml:space="preserve"> </w:t>
      </w:r>
      <w:r w:rsidR="008F44C6">
        <w:t xml:space="preserve">to </w:t>
      </w:r>
      <w:r w:rsidR="00E4755E">
        <w:t xml:space="preserve">establish a dedicated ESF+ </w:t>
      </w:r>
      <w:r w:rsidR="00E4755E" w:rsidRPr="00163324">
        <w:rPr>
          <w:b/>
          <w:bCs/>
        </w:rPr>
        <w:t xml:space="preserve">budget of at least EUR 20 billion for the European Child Guarantee </w:t>
      </w:r>
      <w:r w:rsidR="00E4755E">
        <w:t>to maximise its impact on reducing child poverty across Europe</w:t>
      </w:r>
      <w:r w:rsidR="00AE34C2">
        <w:t xml:space="preserve">. </w:t>
      </w:r>
    </w:p>
    <w:p w14:paraId="5FE388AE" w14:textId="763D9C2A" w:rsidR="00E4755E" w:rsidRDefault="00AE34C2" w:rsidP="00321E47">
      <w:pPr>
        <w:tabs>
          <w:tab w:val="left" w:pos="993"/>
        </w:tabs>
        <w:spacing w:after="160"/>
        <w:ind w:left="1134" w:right="1248"/>
      </w:pPr>
      <w:r>
        <w:t xml:space="preserve">We call </w:t>
      </w:r>
      <w:r w:rsidR="008636F9">
        <w:t xml:space="preserve">for </w:t>
      </w:r>
      <w:r w:rsidR="00163324" w:rsidRPr="001A3A05">
        <w:rPr>
          <w:b/>
          <w:bCs/>
        </w:rPr>
        <w:t xml:space="preserve">at least 5% of ESF+ resources </w:t>
      </w:r>
      <w:r w:rsidR="008636F9">
        <w:rPr>
          <w:b/>
          <w:bCs/>
        </w:rPr>
        <w:t>to be</w:t>
      </w:r>
      <w:r w:rsidR="00163324" w:rsidRPr="001A3A05">
        <w:rPr>
          <w:b/>
          <w:bCs/>
        </w:rPr>
        <w:t xml:space="preserve"> allocated to tackling child poverty in all EU Member States</w:t>
      </w:r>
      <w:r w:rsidR="004571ED" w:rsidRPr="001A3A05">
        <w:rPr>
          <w:b/>
          <w:bCs/>
        </w:rPr>
        <w:t xml:space="preserve">, with an increase to at least 10% for </w:t>
      </w:r>
      <w:r w:rsidR="00E4755E" w:rsidRPr="001A3A05">
        <w:rPr>
          <w:b/>
          <w:bCs/>
        </w:rPr>
        <w:t>countries with an AROPE (At Risk of Poverty or Social Exclusion) rate above the EU average</w:t>
      </w:r>
      <w:r w:rsidR="00E4755E">
        <w:t xml:space="preserve">, </w:t>
      </w:r>
      <w:r w:rsidR="00910271">
        <w:t>focusing on</w:t>
      </w:r>
      <w:r w:rsidR="00E4755E">
        <w:t xml:space="preserve"> the most affected groups and areas. Currently, these countries already invest an average of 7.22% of their ESF+ funding in child poverty-related measures, raising this to 10% would be a realistic and impactful step toward breaking the cycle of poverty.</w:t>
      </w:r>
    </w:p>
    <w:p w14:paraId="015260F1" w14:textId="370C9A57" w:rsidR="002046DE" w:rsidRPr="00907FDD" w:rsidRDefault="002046DE" w:rsidP="00321E47">
      <w:pPr>
        <w:tabs>
          <w:tab w:val="left" w:pos="993"/>
        </w:tabs>
        <w:spacing w:after="160"/>
        <w:ind w:left="1134" w:right="1248"/>
        <w:rPr>
          <w:b/>
          <w:color w:val="156082"/>
        </w:rPr>
      </w:pPr>
      <w:r>
        <w:rPr>
          <w:b/>
          <w:color w:val="156082"/>
        </w:rPr>
        <w:t xml:space="preserve">Recommendation </w:t>
      </w:r>
      <w:r w:rsidR="00185048">
        <w:rPr>
          <w:b/>
          <w:color w:val="156082"/>
        </w:rPr>
        <w:t>3</w:t>
      </w:r>
      <w:r>
        <w:rPr>
          <w:b/>
          <w:color w:val="156082"/>
        </w:rPr>
        <w:t>: Maximise the impact of the future Social Fund by ensuring take up by not-for-profit organisations</w:t>
      </w:r>
    </w:p>
    <w:p w14:paraId="505DB54C" w14:textId="77777777" w:rsidR="002046DE" w:rsidRDefault="002046DE" w:rsidP="00321E47">
      <w:pPr>
        <w:tabs>
          <w:tab w:val="left" w:pos="993"/>
        </w:tabs>
        <w:spacing w:after="160"/>
        <w:ind w:left="1134" w:right="1248"/>
      </w:pPr>
      <w:r>
        <w:t xml:space="preserve">Even though the Helpdesk project found that the priorities of the current ESF+ are well aligned with the needs of service providers, many social services reported difficulties in accessing ESF+ and other funds. </w:t>
      </w:r>
      <w:r>
        <w:rPr>
          <w:b/>
        </w:rPr>
        <w:t>In some countries and regions, the Fund seems to reach only public authorities, or a very small pool of organisations. At the same time, the majority of not-for-profit social service providers, particularly smaller and locally-based organisations cannot get access.</w:t>
      </w:r>
      <w:r>
        <w:t xml:space="preserve"> In some cases it seems there is no open competition in which they can take part; in other cases there are only calls with a budget that is too high for smaller organisations to implement. Inability to meet co-funding requirements is another barrier for not-for-profit organisations to access EU funds. It also happens that the funds are used mostly for one issue (e.g. tackling unemployment), while other social inclusion topics are being neglected. </w:t>
      </w:r>
    </w:p>
    <w:p w14:paraId="360103D8" w14:textId="77777777" w:rsidR="002046DE" w:rsidRDefault="002046DE" w:rsidP="00321E47">
      <w:pPr>
        <w:tabs>
          <w:tab w:val="left" w:pos="993"/>
        </w:tabs>
        <w:spacing w:after="160"/>
        <w:ind w:left="1134" w:right="1248"/>
      </w:pPr>
      <w:r>
        <w:t xml:space="preserve">However, smaller or decentralised local </w:t>
      </w:r>
      <w:r>
        <w:rPr>
          <w:b/>
        </w:rPr>
        <w:t>not-for-profit social services make up a large part of the overall support provided to people in need. In addition, they often have specific expertise and access to marginalised groups and (rural) areas that are otherwise not sufficiently covered by public services</w:t>
      </w:r>
      <w:r>
        <w:t xml:space="preserve">. Without specific measures that facilitate access for these organisations, EU funds risk missing out on reaching their full potential in terms of social impact. Not-for- profit service providers are also important actors of social innovation. Embedded in the communities, they can quickly respond to changing needs and circumstances and reinvest profits in innovation and new agile programming that better correspond to the needs of the society.   </w:t>
      </w:r>
    </w:p>
    <w:p w14:paraId="5FFD559A" w14:textId="77777777" w:rsidR="002046DE" w:rsidRDefault="002046DE" w:rsidP="00321E47">
      <w:pPr>
        <w:tabs>
          <w:tab w:val="left" w:pos="993"/>
        </w:tabs>
        <w:spacing w:after="160"/>
        <w:ind w:left="1134" w:right="1248"/>
      </w:pPr>
      <w:r>
        <w:t xml:space="preserve">In addition, as these organisations are independent local actors, the EU can play an important role by ensuring their continuity, regardless of changing political dynamics in its Member States.   </w:t>
      </w:r>
    </w:p>
    <w:p w14:paraId="14C9D083" w14:textId="77777777" w:rsidR="002046DE" w:rsidRDefault="002046DE" w:rsidP="00321E47">
      <w:pPr>
        <w:tabs>
          <w:tab w:val="left" w:pos="993"/>
        </w:tabs>
        <w:spacing w:after="160"/>
        <w:ind w:left="1134" w:right="1248"/>
      </w:pPr>
      <w:r>
        <w:lastRenderedPageBreak/>
        <w:t xml:space="preserve">Given the above, </w:t>
      </w:r>
      <w:r>
        <w:rPr>
          <w:b/>
        </w:rPr>
        <w:t xml:space="preserve">we recommend </w:t>
      </w:r>
      <w:proofErr w:type="gramStart"/>
      <w:r>
        <w:rPr>
          <w:b/>
        </w:rPr>
        <w:t>to earmark</w:t>
      </w:r>
      <w:proofErr w:type="gramEnd"/>
      <w:r>
        <w:rPr>
          <w:b/>
        </w:rPr>
        <w:t xml:space="preserve"> at least 25% of the future Social Fund in each Member State for open calls targeting specifically not-for-profit organisations</w:t>
      </w:r>
      <w:r>
        <w:t xml:space="preserve">. </w:t>
      </w:r>
    </w:p>
    <w:p w14:paraId="1D50E3B8" w14:textId="77777777" w:rsidR="002046DE" w:rsidRDefault="002046DE" w:rsidP="00321E47">
      <w:pPr>
        <w:tabs>
          <w:tab w:val="left" w:pos="993"/>
        </w:tabs>
        <w:spacing w:after="160"/>
        <w:ind w:left="1134" w:right="1248"/>
      </w:pPr>
      <w:r>
        <w:t xml:space="preserve">In addition, we advise to </w:t>
      </w:r>
      <w:r>
        <w:rPr>
          <w:b/>
        </w:rPr>
        <w:t>increase pre- and co-financing rates</w:t>
      </w:r>
      <w:r>
        <w:t xml:space="preserve"> for projects pursuing social inclusion objectives, in particular for projects implemented by not-for-profit organisations, where the EU co-funding contribution should be at least 80%. To ensure take-up by not-for-profit organisations and respect </w:t>
      </w:r>
      <w:r>
        <w:rPr>
          <w:b/>
        </w:rPr>
        <w:t>for the partnership principle</w:t>
      </w:r>
      <w:r>
        <w:t xml:space="preserve"> at EU level, it is also important that they are consulted and contribute </w:t>
      </w:r>
      <w:proofErr w:type="gramStart"/>
      <w:r>
        <w:t>in</w:t>
      </w:r>
      <w:proofErr w:type="gramEnd"/>
      <w:r>
        <w:t xml:space="preserve"> the monitoring, evaluation and implementation of the fund at all levels. However, with the current foresight where cohesion policy will be planned under one single plan in each Member State, there is a risk that not-for-profit social services at all levels will not sufficiently be consulted. There should therefore be safeguards in place to ensure sufficient involvement of not-for-profit social services in the full funding cycle and </w:t>
      </w:r>
      <w:r>
        <w:rPr>
          <w:b/>
        </w:rPr>
        <w:t>the inclusion of not-for-profit social services in the ESF+ committee, as well as in expert and consultative national committees,</w:t>
      </w:r>
      <w:r>
        <w:t xml:space="preserve"> should be mandatory. </w:t>
      </w:r>
    </w:p>
    <w:p w14:paraId="13778F17" w14:textId="77777777" w:rsidR="00403A9F" w:rsidRDefault="002046DE" w:rsidP="00321E47">
      <w:pPr>
        <w:tabs>
          <w:tab w:val="left" w:pos="993"/>
        </w:tabs>
        <w:spacing w:after="160"/>
        <w:ind w:left="1134" w:right="1248"/>
        <w:rPr>
          <w:b/>
          <w:color w:val="156082"/>
        </w:rPr>
      </w:pPr>
      <w:r>
        <w:rPr>
          <w:b/>
        </w:rPr>
        <w:t xml:space="preserve">Lastly, it is important that civil society organisations will again be eligible as intermediate bodies in the future Regulations. In the current period, we are seeing that having an intermediate body which is closer to civil society and to the target groups, is beneficial for the impact and use of EU </w:t>
      </w:r>
      <w:proofErr w:type="gramStart"/>
      <w:r>
        <w:rPr>
          <w:b/>
        </w:rPr>
        <w:t>funds, and</w:t>
      </w:r>
      <w:proofErr w:type="gramEnd"/>
      <w:r>
        <w:rPr>
          <w:b/>
        </w:rPr>
        <w:t xml:space="preserve"> can have a positive impact on the partnership principle as well. Furthermore, it allows for Operational Programmes to be rolled out across regions.</w:t>
      </w:r>
      <w:r>
        <w:rPr>
          <w:b/>
        </w:rPr>
        <w:br/>
      </w:r>
    </w:p>
    <w:p w14:paraId="0F318231" w14:textId="71137B8C" w:rsidR="002046DE" w:rsidRPr="006B08FB" w:rsidRDefault="002046DE" w:rsidP="00321E47">
      <w:pPr>
        <w:tabs>
          <w:tab w:val="left" w:pos="993"/>
        </w:tabs>
        <w:spacing w:after="160"/>
        <w:ind w:left="1134" w:right="1248"/>
      </w:pPr>
      <w:r>
        <w:rPr>
          <w:b/>
          <w:color w:val="156082"/>
        </w:rPr>
        <w:t xml:space="preserve">Recommendation </w:t>
      </w:r>
      <w:r w:rsidR="00185048">
        <w:rPr>
          <w:b/>
          <w:color w:val="156082"/>
        </w:rPr>
        <w:t>4</w:t>
      </w:r>
      <w:r>
        <w:rPr>
          <w:b/>
          <w:color w:val="156082"/>
        </w:rPr>
        <w:t>: Build the capacity of Social Services to access the future Social Fund</w:t>
      </w:r>
    </w:p>
    <w:p w14:paraId="795C5947" w14:textId="71CED114" w:rsidR="002046DE" w:rsidRDefault="002046DE" w:rsidP="00321E47">
      <w:pPr>
        <w:tabs>
          <w:tab w:val="left" w:pos="993"/>
        </w:tabs>
        <w:spacing w:after="160"/>
        <w:ind w:left="1134" w:right="1248"/>
      </w:pPr>
      <w:r>
        <w:t>The</w:t>
      </w:r>
      <w:r w:rsidR="00F25C16">
        <w:t xml:space="preserve"> </w:t>
      </w:r>
      <w:hyperlink r:id="rId16" w:history="1">
        <w:r w:rsidR="00F25C16">
          <w:rPr>
            <w:rStyle w:val="Hyperlink"/>
          </w:rPr>
          <w:t>Helpdesk project</w:t>
        </w:r>
      </w:hyperlink>
      <w:r>
        <w:t xml:space="preserve"> revealed that </w:t>
      </w:r>
      <w:r>
        <w:rPr>
          <w:b/>
        </w:rPr>
        <w:t>social services still face a significant knowledge and skills gap</w:t>
      </w:r>
      <w:r>
        <w:t xml:space="preserve"> in accessing the current ESF+ and running EU-funded projects. In addition, they insufficiently benefit from the available technical assistance budgets. This is another key barrier preventing the take-up of ESF+ by social services, as referred to in the Recommendation above. </w:t>
      </w:r>
    </w:p>
    <w:p w14:paraId="66DA03EF" w14:textId="77777777" w:rsidR="002046DE" w:rsidRDefault="002046DE" w:rsidP="00321E47">
      <w:pPr>
        <w:tabs>
          <w:tab w:val="left" w:pos="993"/>
        </w:tabs>
        <w:spacing w:after="160"/>
        <w:ind w:left="1134" w:right="1248"/>
      </w:pPr>
      <w:r>
        <w:t>The knowledge that social services currently lack relates to the functioning of ESF+ in the respective Member State; language used (project literacy) and the procedure of application; writing project applications and submitting projects; financing rules such as co-financing; reimbursement principles; accountancy rules; public procurement and state aid rules; the use of simplified cost options; reporting; and preparing audit controls. On the other hand, Managing Authorities also lack the capacity to better define, measure, and monitor the social impact of social services projects as well as addressing social innovation.</w:t>
      </w:r>
    </w:p>
    <w:p w14:paraId="54D5CD80" w14:textId="77777777" w:rsidR="002046DE" w:rsidRDefault="002046DE" w:rsidP="00321E47">
      <w:pPr>
        <w:tabs>
          <w:tab w:val="left" w:pos="993"/>
        </w:tabs>
        <w:spacing w:after="160"/>
        <w:ind w:left="1134" w:right="1248"/>
      </w:pPr>
      <w:r>
        <w:t xml:space="preserve">To improve the capacity of managing authorities and social services, the </w:t>
      </w:r>
      <w:r>
        <w:rPr>
          <w:b/>
        </w:rPr>
        <w:t>European Commission should ensure that future regulations include mandatory capacity-building components (including related earmarked funding) and a strengthened partnership principle at the EU and national levels</w:t>
      </w:r>
      <w:r>
        <w:t xml:space="preserve">. Furthermore, the future ESF+ regulation framework should be more precise on content and structure of capacity building and should especially refer to training of social services and other stakeholders in accessing, using and reporting ESF+, including by the setting up of dedicated intermediate bodies. In </w:t>
      </w:r>
      <w:r>
        <w:lastRenderedPageBreak/>
        <w:t xml:space="preserve">particular, </w:t>
      </w:r>
      <w:r>
        <w:rPr>
          <w:b/>
        </w:rPr>
        <w:t>the future ESF+ regulation should reserve a technical assistance budget to set up a network of national helpdesks, coordinated at cross-European level, in order to effectively deliver the training, guidance, practice-sharing and support to organisations on-the-ground</w:t>
      </w:r>
      <w:r>
        <w:t>.</w:t>
      </w:r>
    </w:p>
    <w:p w14:paraId="293993FF" w14:textId="5EF1B9C0" w:rsidR="002046DE" w:rsidRDefault="002046DE" w:rsidP="00321E47">
      <w:pPr>
        <w:tabs>
          <w:tab w:val="left" w:pos="993"/>
        </w:tabs>
        <w:spacing w:after="160"/>
        <w:ind w:left="1134" w:right="1248"/>
        <w:rPr>
          <w:b/>
          <w:color w:val="156082"/>
        </w:rPr>
      </w:pPr>
      <w:r>
        <w:rPr>
          <w:b/>
          <w:color w:val="156082"/>
        </w:rPr>
        <w:t xml:space="preserve">Recommendation </w:t>
      </w:r>
      <w:r w:rsidR="00D60E62">
        <w:rPr>
          <w:b/>
          <w:color w:val="156082"/>
        </w:rPr>
        <w:t>5</w:t>
      </w:r>
      <w:r>
        <w:rPr>
          <w:b/>
          <w:color w:val="156082"/>
        </w:rPr>
        <w:t>: Ensure simplification reaches beneficiaries</w:t>
      </w:r>
    </w:p>
    <w:p w14:paraId="20EF7814" w14:textId="77777777" w:rsidR="002046DE" w:rsidRDefault="002046DE" w:rsidP="00321E47">
      <w:pPr>
        <w:tabs>
          <w:tab w:val="left" w:pos="993"/>
        </w:tabs>
        <w:spacing w:after="160"/>
        <w:ind w:left="1134" w:right="1248"/>
      </w:pPr>
      <w:r>
        <w:t xml:space="preserve">The Commission has made efforts to simplify the use of EU funds in the MFF </w:t>
      </w:r>
      <w:proofErr w:type="gramStart"/>
      <w:r>
        <w:t>2021-2027, and</w:t>
      </w:r>
      <w:proofErr w:type="gramEnd"/>
      <w:r>
        <w:t xml:space="preserve"> has committed to pass further simplifications in the next MFF. This is highly welcomed, as one of the main barriers for social services to access EU funds remains the complexity of these funds and the lack of human resources to deal with the heavy application and reporting requirements. </w:t>
      </w:r>
    </w:p>
    <w:p w14:paraId="1DDE53F6" w14:textId="77777777" w:rsidR="002046DE" w:rsidRDefault="002046DE" w:rsidP="00321E47">
      <w:pPr>
        <w:tabs>
          <w:tab w:val="left" w:pos="993"/>
        </w:tabs>
        <w:spacing w:after="160"/>
        <w:ind w:left="1134" w:right="1248"/>
      </w:pPr>
      <w:r>
        <w:t xml:space="preserve">Even though the simplifications in the current regulations, such as simplified cost options, are an important step towards simplification, </w:t>
      </w:r>
      <w:r>
        <w:rPr>
          <w:b/>
        </w:rPr>
        <w:t>more efforts are needed to ensure that simplifications also reach the beneficiaries</w:t>
      </w:r>
      <w:r>
        <w:t xml:space="preserve">. At the moment, there is too much uncertainty regarding the use of simplification measures, which means that the grant beneficiaries are still keeping record of all receipts and processes, to avoid unwelcome surprises during reporting and audits. </w:t>
      </w:r>
      <w:r>
        <w:rPr>
          <w:b/>
        </w:rPr>
        <w:t>Therefore, particular attention should be paid to creating an enabling environment which reaches all stakeholders.</w:t>
      </w:r>
      <w:r>
        <w:t xml:space="preserve"> In order to achieve this, it is important that </w:t>
      </w:r>
      <w:r>
        <w:rPr>
          <w:b/>
        </w:rPr>
        <w:t>beneficiaries, including not-for-profit social services providers, are consulted for the design of the simplification measures</w:t>
      </w:r>
      <w:r>
        <w:t xml:space="preserve">. </w:t>
      </w:r>
    </w:p>
    <w:p w14:paraId="7547BCC9" w14:textId="33208059" w:rsidR="002046DE" w:rsidRDefault="002046DE" w:rsidP="00321E47">
      <w:pPr>
        <w:tabs>
          <w:tab w:val="left" w:pos="993"/>
        </w:tabs>
        <w:spacing w:after="160"/>
        <w:ind w:left="1134" w:right="1248"/>
      </w:pPr>
      <w:r>
        <w:rPr>
          <w:b/>
          <w:color w:val="156082"/>
        </w:rPr>
        <w:t xml:space="preserve">Recommendation </w:t>
      </w:r>
      <w:r w:rsidR="00D60E62">
        <w:rPr>
          <w:b/>
          <w:color w:val="156082"/>
        </w:rPr>
        <w:t>6</w:t>
      </w:r>
      <w:r>
        <w:rPr>
          <w:b/>
          <w:color w:val="156082"/>
        </w:rPr>
        <w:t>: Ensure EU funds drive social and human rights-based change and are anchored in the needs of individuals and communities</w:t>
      </w:r>
    </w:p>
    <w:p w14:paraId="5C22629B" w14:textId="77777777" w:rsidR="002046DE" w:rsidRDefault="002046DE" w:rsidP="00321E47">
      <w:pPr>
        <w:tabs>
          <w:tab w:val="left" w:pos="993"/>
        </w:tabs>
        <w:spacing w:after="160"/>
        <w:ind w:left="1134" w:right="1248"/>
      </w:pPr>
      <w:r>
        <w:t xml:space="preserve">The EU and its Member States have committed to upholding human, including social rights through different policy frameworks such as the European Pillar of Social Rights, the EU Fundamental Rights Charter and by signing international human rights conventions (such as the United Nations Convention on the Rights of Persons with Disabilities and the Revised European Social Charter). These frameworks also set standards for the accessibility, affordability, availability and quality of care and support. The EU has been playing a leading role to ensure Member States move towards the implementation of these frameworks, so as to ensure people in the EU have access to their rights. It has been doing so by using EU funds for social reforms, and by setting conditions for the use of the EU’s shared management funds including ESF+ (through ex-ante conditionalities in the MFF 2014-2020 and enabling conditions in the MFF 2021-2027). </w:t>
      </w:r>
      <w:r>
        <w:rPr>
          <w:b/>
        </w:rPr>
        <w:t xml:space="preserve">The EU should continue its influence to uphold human, including social rights and ensure quality care provision through renewed conditions which apply to all resilience and cohesion funds. </w:t>
      </w:r>
      <w:r>
        <w:t xml:space="preserve">Human rights are universal, and therefore the same conditions for the use of the EU funds should apply to all Member States. </w:t>
      </w:r>
    </w:p>
    <w:p w14:paraId="2E2DAA41" w14:textId="77777777" w:rsidR="002046DE" w:rsidRDefault="002046DE" w:rsidP="00321E47">
      <w:pPr>
        <w:pBdr>
          <w:top w:val="nil"/>
          <w:left w:val="nil"/>
          <w:bottom w:val="nil"/>
          <w:right w:val="nil"/>
          <w:between w:val="nil"/>
        </w:pBdr>
        <w:tabs>
          <w:tab w:val="left" w:pos="993"/>
        </w:tabs>
        <w:spacing w:after="160"/>
        <w:ind w:left="1134" w:right="1248"/>
      </w:pPr>
      <w:r>
        <w:t>The future Social Fund and other funds with social priorities, should be</w:t>
      </w:r>
      <w:r>
        <w:rPr>
          <w:color w:val="000000"/>
        </w:rPr>
        <w:t xml:space="preserve"> made conditional to the respect of fundamental human rights principles and the existence of national social inclusion strategies, in particular:</w:t>
      </w:r>
      <w:r>
        <w:t xml:space="preserve"> a</w:t>
      </w:r>
      <w:r>
        <w:rPr>
          <w:color w:val="000000"/>
        </w:rPr>
        <w:t xml:space="preserve"> national </w:t>
      </w:r>
      <w:r>
        <w:t xml:space="preserve">framework </w:t>
      </w:r>
      <w:r>
        <w:rPr>
          <w:color w:val="000000"/>
        </w:rPr>
        <w:t>on the implementation of the UNCRPD</w:t>
      </w:r>
      <w:r>
        <w:t xml:space="preserve">; and a national framework on social inclusion and poverty reduction, including measures to grant access to quality services for people in vulnerable situations and measures for the shift from institutional to family- and community-based care. </w:t>
      </w:r>
      <w:r>
        <w:lastRenderedPageBreak/>
        <w:t xml:space="preserve">It is equally important to ensure that human dignity and non-discrimination is respected by allowing the provision of basic social services to reach everyone regardless of administrative or other status. </w:t>
      </w:r>
    </w:p>
    <w:p w14:paraId="2B890DED" w14:textId="77777777" w:rsidR="002046DE" w:rsidRPr="00CD65F7" w:rsidRDefault="002046DE" w:rsidP="00321E47">
      <w:pPr>
        <w:tabs>
          <w:tab w:val="left" w:pos="993"/>
        </w:tabs>
        <w:ind w:left="1134" w:right="1248"/>
      </w:pPr>
    </w:p>
    <w:p w14:paraId="348824B5" w14:textId="77777777" w:rsidR="00F30D1F" w:rsidRPr="00CD65F7" w:rsidRDefault="00F30D1F" w:rsidP="00321E47">
      <w:pPr>
        <w:tabs>
          <w:tab w:val="left" w:pos="993"/>
        </w:tabs>
        <w:ind w:left="1134" w:right="1248"/>
      </w:pPr>
    </w:p>
    <w:p w14:paraId="04091E0D" w14:textId="77777777" w:rsidR="00F30D1F" w:rsidRPr="00CD65F7" w:rsidRDefault="00F30D1F" w:rsidP="00321E47">
      <w:pPr>
        <w:tabs>
          <w:tab w:val="left" w:pos="993"/>
        </w:tabs>
        <w:ind w:left="1134" w:right="1248"/>
      </w:pPr>
    </w:p>
    <w:p w14:paraId="64D7CC82" w14:textId="77777777" w:rsidR="00F30D1F" w:rsidRPr="00CD65F7" w:rsidRDefault="00F30D1F" w:rsidP="00321E47">
      <w:pPr>
        <w:tabs>
          <w:tab w:val="left" w:pos="993"/>
        </w:tabs>
        <w:ind w:left="1134" w:right="1248"/>
      </w:pPr>
    </w:p>
    <w:p w14:paraId="76FE5942" w14:textId="77777777" w:rsidR="00F30D1F" w:rsidRPr="00CD65F7" w:rsidRDefault="00F30D1F" w:rsidP="00321E47">
      <w:pPr>
        <w:tabs>
          <w:tab w:val="left" w:pos="993"/>
        </w:tabs>
        <w:ind w:left="1134" w:right="1248"/>
      </w:pPr>
    </w:p>
    <w:p w14:paraId="71135495" w14:textId="77777777" w:rsidR="00F30D1F" w:rsidRPr="00CD65F7" w:rsidRDefault="00F30D1F" w:rsidP="00321E47">
      <w:pPr>
        <w:tabs>
          <w:tab w:val="left" w:pos="993"/>
        </w:tabs>
        <w:ind w:left="1134" w:right="1248"/>
      </w:pPr>
    </w:p>
    <w:p w14:paraId="6ABE12E8" w14:textId="77777777" w:rsidR="00F30D1F" w:rsidRPr="00CD65F7" w:rsidRDefault="00F30D1F" w:rsidP="00321E47">
      <w:pPr>
        <w:tabs>
          <w:tab w:val="left" w:pos="993"/>
        </w:tabs>
        <w:ind w:left="1134" w:right="1248"/>
      </w:pPr>
    </w:p>
    <w:p w14:paraId="222367B7" w14:textId="77777777" w:rsidR="00F30D1F" w:rsidRPr="00CD65F7" w:rsidRDefault="00F30D1F" w:rsidP="00321E47">
      <w:pPr>
        <w:tabs>
          <w:tab w:val="left" w:pos="993"/>
        </w:tabs>
        <w:ind w:left="1134" w:right="1248"/>
      </w:pPr>
    </w:p>
    <w:p w14:paraId="37E502CA" w14:textId="77777777" w:rsidR="00F30D1F" w:rsidRPr="00CD65F7" w:rsidRDefault="00F30D1F" w:rsidP="00321E47">
      <w:pPr>
        <w:tabs>
          <w:tab w:val="left" w:pos="993"/>
        </w:tabs>
        <w:ind w:left="1134" w:right="1248"/>
      </w:pPr>
    </w:p>
    <w:p w14:paraId="506376C1" w14:textId="77777777" w:rsidR="00F30D1F" w:rsidRPr="00CD65F7" w:rsidRDefault="00F30D1F" w:rsidP="00321E47">
      <w:pPr>
        <w:tabs>
          <w:tab w:val="left" w:pos="993"/>
        </w:tabs>
        <w:ind w:left="1134" w:right="1248"/>
      </w:pPr>
    </w:p>
    <w:sectPr w:rsidR="00F30D1F" w:rsidRPr="00CD65F7">
      <w:headerReference w:type="default" r:id="rId17"/>
      <w:footerReference w:type="default" r:id="rId18"/>
      <w:pgSz w:w="12240" w:h="15840"/>
      <w:pgMar w:top="2025" w:right="180" w:bottom="1440" w:left="180" w:header="59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F75F" w14:textId="77777777" w:rsidR="00904C0D" w:rsidRPr="00CD65F7" w:rsidRDefault="00904C0D">
      <w:pPr>
        <w:spacing w:line="240" w:lineRule="auto"/>
      </w:pPr>
      <w:r w:rsidRPr="00CD65F7">
        <w:separator/>
      </w:r>
    </w:p>
  </w:endnote>
  <w:endnote w:type="continuationSeparator" w:id="0">
    <w:p w14:paraId="09CC5E9B" w14:textId="77777777" w:rsidR="00904C0D" w:rsidRPr="00CD65F7" w:rsidRDefault="00904C0D">
      <w:pPr>
        <w:spacing w:line="240" w:lineRule="auto"/>
      </w:pPr>
      <w:r w:rsidRPr="00CD65F7">
        <w:continuationSeparator/>
      </w:r>
    </w:p>
  </w:endnote>
  <w:endnote w:type="continuationNotice" w:id="1">
    <w:p w14:paraId="7F61CD49" w14:textId="77777777" w:rsidR="00904C0D" w:rsidRPr="00CD65F7" w:rsidRDefault="00904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D603" w14:textId="4D0CA941" w:rsidR="00C5516B" w:rsidRPr="00CD65F7" w:rsidRDefault="00321E47" w:rsidP="00C5516B">
    <w:pPr>
      <w:jc w:val="center"/>
      <w:rPr>
        <w:rFonts w:asciiTheme="majorHAnsi" w:hAnsiTheme="majorHAnsi" w:cstheme="majorHAnsi"/>
        <w:sz w:val="12"/>
        <w:szCs w:val="12"/>
      </w:rPr>
    </w:pPr>
    <w:r w:rsidRPr="00321E47">
      <w:rPr>
        <w:rFonts w:asciiTheme="majorHAnsi" w:hAnsiTheme="majorHAnsi" w:cstheme="majorHAnsi"/>
        <w:noProof/>
        <w:sz w:val="12"/>
        <w:szCs w:val="12"/>
      </w:rPr>
      <mc:AlternateContent>
        <mc:Choice Requires="wps">
          <w:drawing>
            <wp:anchor distT="0" distB="0" distL="114300" distR="114300" simplePos="0" relativeHeight="251660290" behindDoc="0" locked="0" layoutInCell="0" allowOverlap="1" wp14:anchorId="08AC8F7A" wp14:editId="3D17E24D">
              <wp:simplePos x="0" y="0"/>
              <wp:positionH relativeFrom="leftMargin">
                <wp:posOffset>8590</wp:posOffset>
              </wp:positionH>
              <wp:positionV relativeFrom="margin">
                <wp:posOffset>5118100</wp:posOffset>
              </wp:positionV>
              <wp:extent cx="532765" cy="2183130"/>
              <wp:effectExtent l="0" t="0" r="3810" b="0"/>
              <wp:wrapNone/>
              <wp:docPr id="19138191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F89C" w14:textId="77777777" w:rsidR="00321E47" w:rsidRPr="00321E47" w:rsidRDefault="00321E47">
                          <w:pPr>
                            <w:pStyle w:val="Footer"/>
                            <w:rPr>
                              <w:rFonts w:asciiTheme="majorHAnsi" w:eastAsiaTheme="majorEastAsia" w:hAnsiTheme="majorHAnsi" w:cstheme="majorBidi"/>
                              <w:sz w:val="36"/>
                              <w:szCs w:val="36"/>
                            </w:rPr>
                          </w:pPr>
                          <w:r>
                            <w:rPr>
                              <w:rFonts w:asciiTheme="majorHAnsi" w:eastAsiaTheme="majorEastAsia" w:hAnsiTheme="majorHAnsi" w:cstheme="majorBidi"/>
                            </w:rPr>
                            <w:t>P</w:t>
                          </w:r>
                          <w:r w:rsidRPr="00321E47">
                            <w:rPr>
                              <w:rFonts w:asciiTheme="majorHAnsi" w:eastAsiaTheme="majorEastAsia" w:hAnsiTheme="majorHAnsi" w:cstheme="majorBidi"/>
                              <w:sz w:val="18"/>
                              <w:szCs w:val="18"/>
                            </w:rPr>
                            <w:t>age</w:t>
                          </w:r>
                          <w:r w:rsidRPr="00321E47">
                            <w:rPr>
                              <w:rFonts w:asciiTheme="minorHAnsi" w:eastAsiaTheme="minorEastAsia" w:hAnsiTheme="minorHAnsi" w:cs="Times New Roman"/>
                              <w:sz w:val="18"/>
                              <w:szCs w:val="18"/>
                            </w:rPr>
                            <w:fldChar w:fldCharType="begin"/>
                          </w:r>
                          <w:r w:rsidRPr="00321E47">
                            <w:rPr>
                              <w:sz w:val="18"/>
                              <w:szCs w:val="18"/>
                            </w:rPr>
                            <w:instrText xml:space="preserve"> PAGE    \* MERGEFORMAT </w:instrText>
                          </w:r>
                          <w:r w:rsidRPr="00321E47">
                            <w:rPr>
                              <w:rFonts w:asciiTheme="minorHAnsi" w:eastAsiaTheme="minorEastAsia" w:hAnsiTheme="minorHAnsi" w:cs="Times New Roman"/>
                              <w:sz w:val="18"/>
                              <w:szCs w:val="18"/>
                            </w:rPr>
                            <w:fldChar w:fldCharType="separate"/>
                          </w:r>
                          <w:r w:rsidRPr="00321E47">
                            <w:rPr>
                              <w:rFonts w:asciiTheme="majorHAnsi" w:eastAsiaTheme="majorEastAsia" w:hAnsiTheme="majorHAnsi" w:cstheme="majorBidi"/>
                              <w:noProof/>
                              <w:sz w:val="36"/>
                              <w:szCs w:val="36"/>
                            </w:rPr>
                            <w:t>2</w:t>
                          </w:r>
                          <w:r w:rsidRPr="00321E47">
                            <w:rPr>
                              <w:rFonts w:asciiTheme="majorHAnsi" w:eastAsiaTheme="majorEastAsia" w:hAnsiTheme="majorHAnsi" w:cstheme="majorBidi"/>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AC8F7A" id="Rectangle 2" o:spid="_x0000_s1026" style="position:absolute;left:0;text-align:left;margin-left:.7pt;margin-top:403pt;width:41.95pt;height:171.9pt;z-index:25166029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" o:allowincell="f" filled="f" stroked="f">
              <v:textbox style="layout-flow:vertical;mso-layout-flow-alt:bottom-to-top;mso-fit-shape-to-text:t">
                <w:txbxContent>
                  <w:p w14:paraId="5F08F89C" w14:textId="77777777" w:rsidR="00321E47" w:rsidRPr="00321E47" w:rsidRDefault="00321E47">
                    <w:pPr>
                      <w:pStyle w:val="Footer"/>
                      <w:rPr>
                        <w:rFonts w:asciiTheme="majorHAnsi" w:eastAsiaTheme="majorEastAsia" w:hAnsiTheme="majorHAnsi" w:cstheme="majorBidi"/>
                        <w:sz w:val="36"/>
                        <w:szCs w:val="36"/>
                      </w:rPr>
                    </w:pPr>
                    <w:r>
                      <w:rPr>
                        <w:rFonts w:asciiTheme="majorHAnsi" w:eastAsiaTheme="majorEastAsia" w:hAnsiTheme="majorHAnsi" w:cstheme="majorBidi"/>
                      </w:rPr>
                      <w:t>P</w:t>
                    </w:r>
                    <w:r w:rsidRPr="00321E47">
                      <w:rPr>
                        <w:rFonts w:asciiTheme="majorHAnsi" w:eastAsiaTheme="majorEastAsia" w:hAnsiTheme="majorHAnsi" w:cstheme="majorBidi"/>
                        <w:sz w:val="18"/>
                        <w:szCs w:val="18"/>
                      </w:rPr>
                      <w:t>age</w:t>
                    </w:r>
                    <w:r w:rsidRPr="00321E47">
                      <w:rPr>
                        <w:rFonts w:asciiTheme="minorHAnsi" w:eastAsiaTheme="minorEastAsia" w:hAnsiTheme="minorHAnsi" w:cs="Times New Roman"/>
                        <w:sz w:val="18"/>
                        <w:szCs w:val="18"/>
                      </w:rPr>
                      <w:fldChar w:fldCharType="begin"/>
                    </w:r>
                    <w:r w:rsidRPr="00321E47">
                      <w:rPr>
                        <w:sz w:val="18"/>
                        <w:szCs w:val="18"/>
                      </w:rPr>
                      <w:instrText xml:space="preserve"> PAGE    \* MERGEFORMAT </w:instrText>
                    </w:r>
                    <w:r w:rsidRPr="00321E47">
                      <w:rPr>
                        <w:rFonts w:asciiTheme="minorHAnsi" w:eastAsiaTheme="minorEastAsia" w:hAnsiTheme="minorHAnsi" w:cs="Times New Roman"/>
                        <w:sz w:val="18"/>
                        <w:szCs w:val="18"/>
                      </w:rPr>
                      <w:fldChar w:fldCharType="separate"/>
                    </w:r>
                    <w:r w:rsidRPr="00321E47">
                      <w:rPr>
                        <w:rFonts w:asciiTheme="majorHAnsi" w:eastAsiaTheme="majorEastAsia" w:hAnsiTheme="majorHAnsi" w:cstheme="majorBidi"/>
                        <w:noProof/>
                        <w:sz w:val="36"/>
                        <w:szCs w:val="36"/>
                      </w:rPr>
                      <w:t>2</w:t>
                    </w:r>
                    <w:r w:rsidRPr="00321E47">
                      <w:rPr>
                        <w:rFonts w:asciiTheme="majorHAnsi" w:eastAsiaTheme="majorEastAsia" w:hAnsiTheme="majorHAnsi" w:cstheme="majorBidi"/>
                        <w:noProof/>
                        <w:sz w:val="36"/>
                        <w:szCs w:val="36"/>
                      </w:rPr>
                      <w:fldChar w:fldCharType="end"/>
                    </w:r>
                  </w:p>
                </w:txbxContent>
              </v:textbox>
              <w10:wrap anchorx="margin" anchory="margin"/>
            </v:rect>
          </w:pict>
        </mc:Fallback>
      </mc:AlternateContent>
    </w:r>
    <w:r w:rsidR="00C5516B" w:rsidRPr="00CD65F7">
      <w:rPr>
        <w:noProof/>
      </w:rPr>
      <w:drawing>
        <wp:anchor distT="0" distB="0" distL="114300" distR="114300" simplePos="0" relativeHeight="251658242" behindDoc="0" locked="0" layoutInCell="1" allowOverlap="1" wp14:anchorId="52FC0383" wp14:editId="291F8AF0">
          <wp:simplePos x="0" y="0"/>
          <wp:positionH relativeFrom="page">
            <wp:posOffset>43180</wp:posOffset>
          </wp:positionH>
          <wp:positionV relativeFrom="paragraph">
            <wp:posOffset>-46941</wp:posOffset>
          </wp:positionV>
          <wp:extent cx="7729220" cy="5391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539115"/>
                  </a:xfrm>
                  <a:prstGeom prst="rect">
                    <a:avLst/>
                  </a:prstGeom>
                  <a:noFill/>
                  <a:ln>
                    <a:noFill/>
                  </a:ln>
                </pic:spPr>
              </pic:pic>
            </a:graphicData>
          </a:graphic>
          <wp14:sizeRelH relativeFrom="margin">
            <wp14:pctWidth>0</wp14:pctWidth>
          </wp14:sizeRelH>
        </wp:anchor>
      </w:drawing>
    </w:r>
    <w:r w:rsidR="00C5516B" w:rsidRPr="00CD65F7">
      <w:rPr>
        <w:noProof/>
      </w:rPr>
      <w:drawing>
        <wp:anchor distT="0" distB="0" distL="114300" distR="114300" simplePos="0" relativeHeight="251658241" behindDoc="1" locked="0" layoutInCell="1" allowOverlap="1" wp14:anchorId="3A21E491" wp14:editId="414A5E2D">
          <wp:simplePos x="0" y="0"/>
          <wp:positionH relativeFrom="margin">
            <wp:align>center</wp:align>
          </wp:positionH>
          <wp:positionV relativeFrom="paragraph">
            <wp:posOffset>396875</wp:posOffset>
          </wp:positionV>
          <wp:extent cx="1835785" cy="3937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39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748F4" w14:textId="07F6BB73" w:rsidR="00773C9B" w:rsidRPr="00CD65F7" w:rsidRDefault="00773C9B" w:rsidP="00C55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D4B7" w14:textId="77777777" w:rsidR="00904C0D" w:rsidRPr="00CD65F7" w:rsidRDefault="00904C0D">
      <w:pPr>
        <w:spacing w:line="240" w:lineRule="auto"/>
      </w:pPr>
      <w:r w:rsidRPr="00CD65F7">
        <w:separator/>
      </w:r>
    </w:p>
  </w:footnote>
  <w:footnote w:type="continuationSeparator" w:id="0">
    <w:p w14:paraId="2ED1BE4B" w14:textId="77777777" w:rsidR="00904C0D" w:rsidRPr="00CD65F7" w:rsidRDefault="00904C0D">
      <w:pPr>
        <w:spacing w:line="240" w:lineRule="auto"/>
      </w:pPr>
      <w:r w:rsidRPr="00CD65F7">
        <w:continuationSeparator/>
      </w:r>
    </w:p>
  </w:footnote>
  <w:footnote w:type="continuationNotice" w:id="1">
    <w:p w14:paraId="64C14011" w14:textId="77777777" w:rsidR="00904C0D" w:rsidRPr="00CD65F7" w:rsidRDefault="00904C0D">
      <w:pPr>
        <w:spacing w:line="240" w:lineRule="auto"/>
      </w:pPr>
    </w:p>
  </w:footnote>
  <w:footnote w:id="2">
    <w:p w14:paraId="28E94034" w14:textId="77777777" w:rsidR="002046DE" w:rsidRDefault="002046DE" w:rsidP="002046DE">
      <w:pPr>
        <w:pBdr>
          <w:top w:val="nil"/>
          <w:left w:val="nil"/>
          <w:bottom w:val="nil"/>
          <w:right w:val="nil"/>
          <w:between w:val="nil"/>
        </w:pBdr>
        <w:spacing w:line="180" w:lineRule="auto"/>
        <w:rPr>
          <w:color w:val="000000"/>
          <w:sz w:val="20"/>
          <w:szCs w:val="20"/>
        </w:rPr>
      </w:pPr>
      <w:r>
        <w:rPr>
          <w:rStyle w:val="FootnoteReference"/>
        </w:rPr>
        <w:footnoteRef/>
      </w:r>
      <w:r>
        <w:rPr>
          <w:color w:val="000000"/>
          <w:sz w:val="20"/>
          <w:szCs w:val="20"/>
        </w:rPr>
        <w:t xml:space="preserve"> EU Helpdesk Survey Report on Social Service Providers (2023). Available at: </w:t>
      </w:r>
      <w:hyperlink r:id="rId1">
        <w:r>
          <w:rPr>
            <w:color w:val="467886"/>
            <w:sz w:val="20"/>
            <w:szCs w:val="20"/>
            <w:u w:val="single"/>
          </w:rPr>
          <w:t>https://eufunds4social.eu/wp-content/uploads/2023/03/EU-Helpdesk-cross-country-survey-report_SP.pdf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01FB" w14:textId="14B3B3FD" w:rsidR="00773C9B" w:rsidRPr="00023B67" w:rsidRDefault="00B05001" w:rsidP="57FFF7FB">
    <w:pPr>
      <w:ind w:firstLine="45"/>
      <w:rPr>
        <w:rFonts w:asciiTheme="majorHAnsi" w:hAnsiTheme="majorHAnsi" w:cstheme="majorBidi"/>
        <w:sz w:val="12"/>
        <w:szCs w:val="12"/>
        <w:lang w:val="fr-FR"/>
      </w:rPr>
    </w:pPr>
    <w:sdt>
      <w:sdtPr>
        <w:rPr>
          <w:rFonts w:asciiTheme="majorHAnsi" w:hAnsiTheme="majorHAnsi" w:cstheme="majorBidi"/>
          <w:sz w:val="12"/>
          <w:szCs w:val="12"/>
        </w:rPr>
        <w:id w:val="333961462"/>
        <w:docPartObj>
          <w:docPartGallery w:val="Page Numbers (Margins)"/>
          <w:docPartUnique/>
        </w:docPartObj>
      </w:sdtPr>
      <w:sdtEndPr/>
      <w:sdtContent/>
    </w:sdt>
    <w:r w:rsidR="00C21494" w:rsidRPr="00CD65F7">
      <w:rPr>
        <w:rFonts w:asciiTheme="majorHAnsi" w:hAnsiTheme="majorHAnsi" w:cstheme="majorHAnsi"/>
        <w:noProof/>
        <w:sz w:val="12"/>
        <w:szCs w:val="12"/>
      </w:rPr>
      <w:drawing>
        <wp:anchor distT="114300" distB="114300" distL="114300" distR="114300" simplePos="0" relativeHeight="251658240" behindDoc="1" locked="0" layoutInCell="1" hidden="0" allowOverlap="1" wp14:anchorId="016AD4DE" wp14:editId="7F71793F">
          <wp:simplePos x="0" y="0"/>
          <wp:positionH relativeFrom="page">
            <wp:posOffset>133350</wp:posOffset>
          </wp:positionH>
          <wp:positionV relativeFrom="page">
            <wp:posOffset>133350</wp:posOffset>
          </wp:positionV>
          <wp:extent cx="7543800" cy="8509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850900"/>
                  </a:xfrm>
                  <a:prstGeom prst="rect">
                    <a:avLst/>
                  </a:prstGeom>
                  <a:ln/>
                </pic:spPr>
              </pic:pic>
            </a:graphicData>
          </a:graphic>
        </wp:anchor>
      </w:drawing>
    </w:r>
    <w:r w:rsidR="57FFF7FB" w:rsidRPr="00023B67">
      <w:rPr>
        <w:rFonts w:asciiTheme="majorHAnsi" w:hAnsiTheme="majorHAnsi" w:cstheme="majorBidi"/>
        <w:sz w:val="12"/>
        <w:szCs w:val="12"/>
        <w:lang w:val="fr-FR"/>
      </w:rPr>
      <w:t xml:space="preserve">  www.easpd.eu         info@easpd.eu           +32 2 238 39 20            RN 0478.078.455                                                                                                                                  </w:t>
    </w:r>
    <w:r w:rsidR="57FFF7FB" w:rsidRPr="00023B67">
      <w:rPr>
        <w:rFonts w:cstheme="majorBidi"/>
        <w:sz w:val="12"/>
        <w:szCs w:val="12"/>
        <w:lang w:val="fr-FR"/>
      </w:rPr>
      <w:t>Avenue des Nerviens - 85 – Nerviërslaan 1040 Brussels - Belgium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61BE"/>
    <w:multiLevelType w:val="hybridMultilevel"/>
    <w:tmpl w:val="44F6DCB6"/>
    <w:lvl w:ilvl="0" w:tplc="28BC1D2A">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422C8C"/>
    <w:multiLevelType w:val="hybridMultilevel"/>
    <w:tmpl w:val="82C2D79A"/>
    <w:lvl w:ilvl="0" w:tplc="0409000F">
      <w:start w:val="1"/>
      <w:numFmt w:val="decimal"/>
      <w:lvlText w:val="%1."/>
      <w:lvlJc w:val="left"/>
      <w:pPr>
        <w:ind w:left="720" w:hanging="360"/>
      </w:pPr>
      <w:rPr>
        <w:rFonts w:hint="default"/>
      </w:rPr>
    </w:lvl>
    <w:lvl w:ilvl="1" w:tplc="BC2C7B9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07E8"/>
    <w:multiLevelType w:val="multilevel"/>
    <w:tmpl w:val="F8B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537BF"/>
    <w:multiLevelType w:val="hybridMultilevel"/>
    <w:tmpl w:val="5548026E"/>
    <w:lvl w:ilvl="0" w:tplc="AD1A6FA4">
      <w:numFmt w:val="bullet"/>
      <w:lvlText w:val="-"/>
      <w:lvlJc w:val="left"/>
      <w:pPr>
        <w:ind w:left="1069" w:hanging="360"/>
      </w:pPr>
      <w:rPr>
        <w:rFonts w:ascii="Calibri" w:eastAsia="Arial"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8A234EF"/>
    <w:multiLevelType w:val="hybridMultilevel"/>
    <w:tmpl w:val="DCBCDC9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9C023C3"/>
    <w:multiLevelType w:val="hybridMultilevel"/>
    <w:tmpl w:val="45948A14"/>
    <w:lvl w:ilvl="0" w:tplc="965CDB82">
      <w:start w:val="1"/>
      <w:numFmt w:val="bullet"/>
      <w:lvlText w:val=""/>
      <w:lvlJc w:val="left"/>
      <w:pPr>
        <w:ind w:left="1429"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46729D"/>
    <w:multiLevelType w:val="hybridMultilevel"/>
    <w:tmpl w:val="82043A76"/>
    <w:lvl w:ilvl="0" w:tplc="965CDB8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B5585B"/>
    <w:multiLevelType w:val="multilevel"/>
    <w:tmpl w:val="DDDC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94D66"/>
    <w:multiLevelType w:val="hybridMultilevel"/>
    <w:tmpl w:val="08062DEA"/>
    <w:lvl w:ilvl="0" w:tplc="965CDB8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9E6C34"/>
    <w:multiLevelType w:val="hybridMultilevel"/>
    <w:tmpl w:val="89FAE462"/>
    <w:lvl w:ilvl="0" w:tplc="AD1A6FA4">
      <w:numFmt w:val="bullet"/>
      <w:lvlText w:val="-"/>
      <w:lvlJc w:val="left"/>
      <w:pPr>
        <w:ind w:left="1429"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612483"/>
    <w:multiLevelType w:val="hybridMultilevel"/>
    <w:tmpl w:val="EA94F060"/>
    <w:lvl w:ilvl="0" w:tplc="965CDB8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55130FEC"/>
    <w:multiLevelType w:val="hybridMultilevel"/>
    <w:tmpl w:val="FD54201C"/>
    <w:lvl w:ilvl="0" w:tplc="965CDB8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04B5E89"/>
    <w:multiLevelType w:val="multilevel"/>
    <w:tmpl w:val="FB8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E157C"/>
    <w:multiLevelType w:val="hybridMultilevel"/>
    <w:tmpl w:val="99D057FE"/>
    <w:lvl w:ilvl="0" w:tplc="96D00F62">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805CDC"/>
    <w:multiLevelType w:val="multilevel"/>
    <w:tmpl w:val="661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34A4E"/>
    <w:multiLevelType w:val="multilevel"/>
    <w:tmpl w:val="C86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27F11"/>
    <w:multiLevelType w:val="hybridMultilevel"/>
    <w:tmpl w:val="033A448E"/>
    <w:lvl w:ilvl="0" w:tplc="AD1A6FA4">
      <w:numFmt w:val="bullet"/>
      <w:lvlText w:val="-"/>
      <w:lvlJc w:val="left"/>
      <w:pPr>
        <w:ind w:left="1778" w:hanging="360"/>
      </w:pPr>
      <w:rPr>
        <w:rFonts w:ascii="Calibri" w:eastAsia="Arial"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6950309"/>
    <w:multiLevelType w:val="multilevel"/>
    <w:tmpl w:val="935A5F3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num w:numId="1" w16cid:durableId="515004341">
    <w:abstractNumId w:val="0"/>
  </w:num>
  <w:num w:numId="2" w16cid:durableId="289558493">
    <w:abstractNumId w:val="13"/>
  </w:num>
  <w:num w:numId="3" w16cid:durableId="994453690">
    <w:abstractNumId w:val="4"/>
  </w:num>
  <w:num w:numId="4" w16cid:durableId="1161504402">
    <w:abstractNumId w:val="1"/>
  </w:num>
  <w:num w:numId="5" w16cid:durableId="571159990">
    <w:abstractNumId w:val="7"/>
  </w:num>
  <w:num w:numId="6" w16cid:durableId="834343228">
    <w:abstractNumId w:val="3"/>
  </w:num>
  <w:num w:numId="7" w16cid:durableId="171650934">
    <w:abstractNumId w:val="16"/>
  </w:num>
  <w:num w:numId="8" w16cid:durableId="2125538105">
    <w:abstractNumId w:val="12"/>
  </w:num>
  <w:num w:numId="9" w16cid:durableId="1494711935">
    <w:abstractNumId w:val="9"/>
  </w:num>
  <w:num w:numId="10" w16cid:durableId="369955451">
    <w:abstractNumId w:val="5"/>
  </w:num>
  <w:num w:numId="11" w16cid:durableId="264969557">
    <w:abstractNumId w:val="15"/>
  </w:num>
  <w:num w:numId="12" w16cid:durableId="623005394">
    <w:abstractNumId w:val="6"/>
  </w:num>
  <w:num w:numId="13" w16cid:durableId="1606615994">
    <w:abstractNumId w:val="8"/>
  </w:num>
  <w:num w:numId="14" w16cid:durableId="329332661">
    <w:abstractNumId w:val="11"/>
  </w:num>
  <w:num w:numId="15" w16cid:durableId="1675035963">
    <w:abstractNumId w:val="2"/>
  </w:num>
  <w:num w:numId="16" w16cid:durableId="1837568289">
    <w:abstractNumId w:val="10"/>
  </w:num>
  <w:num w:numId="17" w16cid:durableId="347567208">
    <w:abstractNumId w:val="14"/>
  </w:num>
  <w:num w:numId="18" w16cid:durableId="2231825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9B"/>
    <w:rsid w:val="00012A3B"/>
    <w:rsid w:val="00023B67"/>
    <w:rsid w:val="0004143E"/>
    <w:rsid w:val="00046055"/>
    <w:rsid w:val="00060D47"/>
    <w:rsid w:val="00094006"/>
    <w:rsid w:val="000F0D3F"/>
    <w:rsid w:val="00107F0F"/>
    <w:rsid w:val="00124DBD"/>
    <w:rsid w:val="00163324"/>
    <w:rsid w:val="0017688F"/>
    <w:rsid w:val="00185048"/>
    <w:rsid w:val="00186D63"/>
    <w:rsid w:val="001A3211"/>
    <w:rsid w:val="001A3A05"/>
    <w:rsid w:val="001B03DA"/>
    <w:rsid w:val="001B3AFB"/>
    <w:rsid w:val="001C2CEF"/>
    <w:rsid w:val="001D2F82"/>
    <w:rsid w:val="001D2FA6"/>
    <w:rsid w:val="001E6899"/>
    <w:rsid w:val="002046DE"/>
    <w:rsid w:val="0021096C"/>
    <w:rsid w:val="0021447E"/>
    <w:rsid w:val="002228BF"/>
    <w:rsid w:val="00244E81"/>
    <w:rsid w:val="00250B0B"/>
    <w:rsid w:val="00261FEC"/>
    <w:rsid w:val="00262F06"/>
    <w:rsid w:val="00280419"/>
    <w:rsid w:val="002A0717"/>
    <w:rsid w:val="002C6E87"/>
    <w:rsid w:val="002E0137"/>
    <w:rsid w:val="002F70DD"/>
    <w:rsid w:val="00321E47"/>
    <w:rsid w:val="003236DC"/>
    <w:rsid w:val="00336CE1"/>
    <w:rsid w:val="00396A63"/>
    <w:rsid w:val="003A1CA3"/>
    <w:rsid w:val="003A40D2"/>
    <w:rsid w:val="003A481E"/>
    <w:rsid w:val="003B0FCC"/>
    <w:rsid w:val="003B6181"/>
    <w:rsid w:val="003C50D7"/>
    <w:rsid w:val="003E296F"/>
    <w:rsid w:val="004012E1"/>
    <w:rsid w:val="00402A0E"/>
    <w:rsid w:val="00403A9F"/>
    <w:rsid w:val="00430F99"/>
    <w:rsid w:val="004443B1"/>
    <w:rsid w:val="004571ED"/>
    <w:rsid w:val="0046335D"/>
    <w:rsid w:val="00474C42"/>
    <w:rsid w:val="004763F5"/>
    <w:rsid w:val="004D5B8D"/>
    <w:rsid w:val="0050388C"/>
    <w:rsid w:val="00534B2D"/>
    <w:rsid w:val="00546805"/>
    <w:rsid w:val="00547A7D"/>
    <w:rsid w:val="00563D10"/>
    <w:rsid w:val="00584200"/>
    <w:rsid w:val="005C35D8"/>
    <w:rsid w:val="005C3B7C"/>
    <w:rsid w:val="005D2641"/>
    <w:rsid w:val="005D399C"/>
    <w:rsid w:val="00611A93"/>
    <w:rsid w:val="00611FD7"/>
    <w:rsid w:val="006360D5"/>
    <w:rsid w:val="00680AC2"/>
    <w:rsid w:val="006816EC"/>
    <w:rsid w:val="006A2A83"/>
    <w:rsid w:val="006A5588"/>
    <w:rsid w:val="006B103E"/>
    <w:rsid w:val="006C65DA"/>
    <w:rsid w:val="006D2BDF"/>
    <w:rsid w:val="006D7E0A"/>
    <w:rsid w:val="006E0C8A"/>
    <w:rsid w:val="007079FD"/>
    <w:rsid w:val="00731D16"/>
    <w:rsid w:val="00752130"/>
    <w:rsid w:val="00764C2E"/>
    <w:rsid w:val="00771A2F"/>
    <w:rsid w:val="00773C9B"/>
    <w:rsid w:val="00785D78"/>
    <w:rsid w:val="00786449"/>
    <w:rsid w:val="0078646A"/>
    <w:rsid w:val="007A62D0"/>
    <w:rsid w:val="007A79F8"/>
    <w:rsid w:val="007C7DAC"/>
    <w:rsid w:val="007E68FB"/>
    <w:rsid w:val="007F530B"/>
    <w:rsid w:val="00804B14"/>
    <w:rsid w:val="00820354"/>
    <w:rsid w:val="008237BF"/>
    <w:rsid w:val="008636F9"/>
    <w:rsid w:val="008640B4"/>
    <w:rsid w:val="008826D0"/>
    <w:rsid w:val="00884B82"/>
    <w:rsid w:val="008853F9"/>
    <w:rsid w:val="00895347"/>
    <w:rsid w:val="00895F5F"/>
    <w:rsid w:val="008A0557"/>
    <w:rsid w:val="008A34E6"/>
    <w:rsid w:val="008B1599"/>
    <w:rsid w:val="008C2877"/>
    <w:rsid w:val="008D2184"/>
    <w:rsid w:val="008D438B"/>
    <w:rsid w:val="008F44C6"/>
    <w:rsid w:val="008F6F80"/>
    <w:rsid w:val="00904C0D"/>
    <w:rsid w:val="00910271"/>
    <w:rsid w:val="0093088C"/>
    <w:rsid w:val="009441FF"/>
    <w:rsid w:val="00947306"/>
    <w:rsid w:val="009639BC"/>
    <w:rsid w:val="0098276A"/>
    <w:rsid w:val="00991A3E"/>
    <w:rsid w:val="009A66DE"/>
    <w:rsid w:val="009D0754"/>
    <w:rsid w:val="009D510F"/>
    <w:rsid w:val="00A0078D"/>
    <w:rsid w:val="00A2683C"/>
    <w:rsid w:val="00A343E9"/>
    <w:rsid w:val="00A36101"/>
    <w:rsid w:val="00A7743B"/>
    <w:rsid w:val="00AC039A"/>
    <w:rsid w:val="00AC4FA5"/>
    <w:rsid w:val="00AD0774"/>
    <w:rsid w:val="00AD4598"/>
    <w:rsid w:val="00AD63A6"/>
    <w:rsid w:val="00AE34C2"/>
    <w:rsid w:val="00B05001"/>
    <w:rsid w:val="00B0761B"/>
    <w:rsid w:val="00B165C9"/>
    <w:rsid w:val="00B5637D"/>
    <w:rsid w:val="00B9550D"/>
    <w:rsid w:val="00BE3182"/>
    <w:rsid w:val="00BF1821"/>
    <w:rsid w:val="00C20663"/>
    <w:rsid w:val="00C21494"/>
    <w:rsid w:val="00C26116"/>
    <w:rsid w:val="00C416FD"/>
    <w:rsid w:val="00C5516B"/>
    <w:rsid w:val="00C721D7"/>
    <w:rsid w:val="00CA4D73"/>
    <w:rsid w:val="00CB4437"/>
    <w:rsid w:val="00CB7217"/>
    <w:rsid w:val="00CC0F54"/>
    <w:rsid w:val="00CD12E3"/>
    <w:rsid w:val="00CD65F7"/>
    <w:rsid w:val="00D3650B"/>
    <w:rsid w:val="00D60E62"/>
    <w:rsid w:val="00D62566"/>
    <w:rsid w:val="00D6743B"/>
    <w:rsid w:val="00D736C2"/>
    <w:rsid w:val="00D93B8C"/>
    <w:rsid w:val="00DE0204"/>
    <w:rsid w:val="00DF79CB"/>
    <w:rsid w:val="00E327AE"/>
    <w:rsid w:val="00E4755E"/>
    <w:rsid w:val="00EB2B24"/>
    <w:rsid w:val="00ED3A4F"/>
    <w:rsid w:val="00EF01B6"/>
    <w:rsid w:val="00F10039"/>
    <w:rsid w:val="00F17E4E"/>
    <w:rsid w:val="00F25C16"/>
    <w:rsid w:val="00F30D1F"/>
    <w:rsid w:val="00F34991"/>
    <w:rsid w:val="00F76916"/>
    <w:rsid w:val="00F97D24"/>
    <w:rsid w:val="00FA2E33"/>
    <w:rsid w:val="00FA38DF"/>
    <w:rsid w:val="00FA63C8"/>
    <w:rsid w:val="00FB7CFA"/>
    <w:rsid w:val="00FC3C34"/>
    <w:rsid w:val="00FD0CB6"/>
    <w:rsid w:val="00FD615D"/>
    <w:rsid w:val="00FE27BF"/>
    <w:rsid w:val="2826A4B2"/>
    <w:rsid w:val="295B0EA5"/>
    <w:rsid w:val="40CBB2D3"/>
    <w:rsid w:val="43A77E45"/>
    <w:rsid w:val="45B12390"/>
    <w:rsid w:val="57FFF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07BAF"/>
  <w15:docId w15:val="{0D26323F-F7F2-4B3C-8D9C-47946488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7D"/>
    <w:rPr>
      <w:rFonts w:ascii="Calibri" w:hAnsi="Calibri"/>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650B"/>
    <w:pPr>
      <w:tabs>
        <w:tab w:val="center" w:pos="4680"/>
        <w:tab w:val="right" w:pos="9360"/>
      </w:tabs>
      <w:spacing w:line="240" w:lineRule="auto"/>
    </w:pPr>
  </w:style>
  <w:style w:type="character" w:customStyle="1" w:styleId="HeaderChar">
    <w:name w:val="Header Char"/>
    <w:basedOn w:val="DefaultParagraphFont"/>
    <w:link w:val="Header"/>
    <w:uiPriority w:val="99"/>
    <w:rsid w:val="00D3650B"/>
  </w:style>
  <w:style w:type="paragraph" w:styleId="Footer">
    <w:name w:val="footer"/>
    <w:basedOn w:val="Normal"/>
    <w:link w:val="FooterChar"/>
    <w:uiPriority w:val="99"/>
    <w:unhideWhenUsed/>
    <w:rsid w:val="00D3650B"/>
    <w:pPr>
      <w:tabs>
        <w:tab w:val="center" w:pos="4680"/>
        <w:tab w:val="right" w:pos="9360"/>
      </w:tabs>
      <w:spacing w:line="240" w:lineRule="auto"/>
    </w:pPr>
  </w:style>
  <w:style w:type="character" w:customStyle="1" w:styleId="FooterChar">
    <w:name w:val="Footer Char"/>
    <w:basedOn w:val="DefaultParagraphFont"/>
    <w:link w:val="Footer"/>
    <w:uiPriority w:val="99"/>
    <w:rsid w:val="00D3650B"/>
  </w:style>
  <w:style w:type="character" w:styleId="Strong">
    <w:name w:val="Strong"/>
    <w:basedOn w:val="DefaultParagraphFont"/>
    <w:uiPriority w:val="22"/>
    <w:qFormat/>
    <w:rsid w:val="00B5637D"/>
    <w:rPr>
      <w:b/>
      <w:bCs/>
    </w:rPr>
  </w:style>
  <w:style w:type="paragraph" w:styleId="NormalWeb">
    <w:name w:val="Normal (Web)"/>
    <w:basedOn w:val="Normal"/>
    <w:uiPriority w:val="99"/>
    <w:semiHidden/>
    <w:unhideWhenUsed/>
    <w:rsid w:val="005D26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3A4F"/>
    <w:pPr>
      <w:ind w:left="720"/>
      <w:contextualSpacing/>
    </w:pPr>
  </w:style>
  <w:style w:type="character" w:styleId="CommentReference">
    <w:name w:val="annotation reference"/>
    <w:basedOn w:val="DefaultParagraphFont"/>
    <w:uiPriority w:val="99"/>
    <w:semiHidden/>
    <w:unhideWhenUsed/>
    <w:rsid w:val="00FA2E33"/>
    <w:rPr>
      <w:sz w:val="16"/>
      <w:szCs w:val="16"/>
    </w:rPr>
  </w:style>
  <w:style w:type="paragraph" w:styleId="CommentText">
    <w:name w:val="annotation text"/>
    <w:basedOn w:val="Normal"/>
    <w:link w:val="CommentTextChar"/>
    <w:uiPriority w:val="99"/>
    <w:semiHidden/>
    <w:unhideWhenUsed/>
    <w:rsid w:val="00FA2E33"/>
    <w:pPr>
      <w:spacing w:line="240" w:lineRule="auto"/>
    </w:pPr>
    <w:rPr>
      <w:sz w:val="20"/>
      <w:szCs w:val="20"/>
    </w:rPr>
  </w:style>
  <w:style w:type="character" w:customStyle="1" w:styleId="CommentTextChar">
    <w:name w:val="Comment Text Char"/>
    <w:basedOn w:val="DefaultParagraphFont"/>
    <w:link w:val="CommentText"/>
    <w:uiPriority w:val="99"/>
    <w:semiHidden/>
    <w:rsid w:val="00FA2E3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2E33"/>
    <w:rPr>
      <w:b/>
      <w:bCs/>
    </w:rPr>
  </w:style>
  <w:style w:type="character" w:customStyle="1" w:styleId="CommentSubjectChar">
    <w:name w:val="Comment Subject Char"/>
    <w:basedOn w:val="CommentTextChar"/>
    <w:link w:val="CommentSubject"/>
    <w:uiPriority w:val="99"/>
    <w:semiHidden/>
    <w:rsid w:val="00FA2E33"/>
    <w:rPr>
      <w:rFonts w:ascii="Calibri" w:hAnsi="Calibri"/>
      <w:b/>
      <w:bCs/>
      <w:sz w:val="20"/>
      <w:szCs w:val="20"/>
    </w:rPr>
  </w:style>
  <w:style w:type="table" w:styleId="TableGrid">
    <w:name w:val="Table Grid"/>
    <w:basedOn w:val="TableNormal"/>
    <w:uiPriority w:val="39"/>
    <w:rsid w:val="00FB7C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6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6EC"/>
    <w:rPr>
      <w:rFonts w:ascii="Segoe UI" w:hAnsi="Segoe UI" w:cs="Segoe UI"/>
      <w:sz w:val="18"/>
      <w:szCs w:val="18"/>
    </w:rPr>
  </w:style>
  <w:style w:type="character" w:styleId="Hyperlink">
    <w:name w:val="Hyperlink"/>
    <w:basedOn w:val="DefaultParagraphFont"/>
    <w:uiPriority w:val="99"/>
    <w:unhideWhenUsed/>
    <w:rsid w:val="00CD65F7"/>
    <w:rPr>
      <w:color w:val="0000FF" w:themeColor="hyperlink"/>
      <w:u w:val="single"/>
    </w:rPr>
  </w:style>
  <w:style w:type="character" w:styleId="UnresolvedMention">
    <w:name w:val="Unresolved Mention"/>
    <w:basedOn w:val="DefaultParagraphFont"/>
    <w:uiPriority w:val="99"/>
    <w:semiHidden/>
    <w:unhideWhenUsed/>
    <w:rsid w:val="00CD65F7"/>
    <w:rPr>
      <w:color w:val="605E5C"/>
      <w:shd w:val="clear" w:color="auto" w:fill="E1DFDD"/>
    </w:rPr>
  </w:style>
  <w:style w:type="character" w:styleId="FootnoteReference">
    <w:name w:val="footnote reference"/>
    <w:basedOn w:val="DefaultParagraphFont"/>
    <w:uiPriority w:val="99"/>
    <w:semiHidden/>
    <w:unhideWhenUsed/>
    <w:rsid w:val="00204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9982">
      <w:bodyDiv w:val="1"/>
      <w:marLeft w:val="0"/>
      <w:marRight w:val="0"/>
      <w:marTop w:val="0"/>
      <w:marBottom w:val="0"/>
      <w:divBdr>
        <w:top w:val="none" w:sz="0" w:space="0" w:color="auto"/>
        <w:left w:val="none" w:sz="0" w:space="0" w:color="auto"/>
        <w:bottom w:val="none" w:sz="0" w:space="0" w:color="auto"/>
        <w:right w:val="none" w:sz="0" w:space="0" w:color="auto"/>
      </w:divBdr>
    </w:div>
    <w:div w:id="235672475">
      <w:bodyDiv w:val="1"/>
      <w:marLeft w:val="0"/>
      <w:marRight w:val="0"/>
      <w:marTop w:val="0"/>
      <w:marBottom w:val="0"/>
      <w:divBdr>
        <w:top w:val="none" w:sz="0" w:space="0" w:color="auto"/>
        <w:left w:val="none" w:sz="0" w:space="0" w:color="auto"/>
        <w:bottom w:val="none" w:sz="0" w:space="0" w:color="auto"/>
        <w:right w:val="none" w:sz="0" w:space="0" w:color="auto"/>
      </w:divBdr>
    </w:div>
    <w:div w:id="340621822">
      <w:bodyDiv w:val="1"/>
      <w:marLeft w:val="0"/>
      <w:marRight w:val="0"/>
      <w:marTop w:val="0"/>
      <w:marBottom w:val="0"/>
      <w:divBdr>
        <w:top w:val="none" w:sz="0" w:space="0" w:color="auto"/>
        <w:left w:val="none" w:sz="0" w:space="0" w:color="auto"/>
        <w:bottom w:val="none" w:sz="0" w:space="0" w:color="auto"/>
        <w:right w:val="none" w:sz="0" w:space="0" w:color="auto"/>
      </w:divBdr>
    </w:div>
    <w:div w:id="459036238">
      <w:bodyDiv w:val="1"/>
      <w:marLeft w:val="0"/>
      <w:marRight w:val="0"/>
      <w:marTop w:val="0"/>
      <w:marBottom w:val="0"/>
      <w:divBdr>
        <w:top w:val="none" w:sz="0" w:space="0" w:color="auto"/>
        <w:left w:val="none" w:sz="0" w:space="0" w:color="auto"/>
        <w:bottom w:val="none" w:sz="0" w:space="0" w:color="auto"/>
        <w:right w:val="none" w:sz="0" w:space="0" w:color="auto"/>
      </w:divBdr>
    </w:div>
    <w:div w:id="657928120">
      <w:bodyDiv w:val="1"/>
      <w:marLeft w:val="0"/>
      <w:marRight w:val="0"/>
      <w:marTop w:val="0"/>
      <w:marBottom w:val="0"/>
      <w:divBdr>
        <w:top w:val="none" w:sz="0" w:space="0" w:color="auto"/>
        <w:left w:val="none" w:sz="0" w:space="0" w:color="auto"/>
        <w:bottom w:val="none" w:sz="0" w:space="0" w:color="auto"/>
        <w:right w:val="none" w:sz="0" w:space="0" w:color="auto"/>
      </w:divBdr>
    </w:div>
    <w:div w:id="892623295">
      <w:bodyDiv w:val="1"/>
      <w:marLeft w:val="0"/>
      <w:marRight w:val="0"/>
      <w:marTop w:val="0"/>
      <w:marBottom w:val="0"/>
      <w:divBdr>
        <w:top w:val="none" w:sz="0" w:space="0" w:color="auto"/>
        <w:left w:val="none" w:sz="0" w:space="0" w:color="auto"/>
        <w:bottom w:val="none" w:sz="0" w:space="0" w:color="auto"/>
        <w:right w:val="none" w:sz="0" w:space="0" w:color="auto"/>
      </w:divBdr>
    </w:div>
    <w:div w:id="990908095">
      <w:bodyDiv w:val="1"/>
      <w:marLeft w:val="0"/>
      <w:marRight w:val="0"/>
      <w:marTop w:val="0"/>
      <w:marBottom w:val="0"/>
      <w:divBdr>
        <w:top w:val="none" w:sz="0" w:space="0" w:color="auto"/>
        <w:left w:val="none" w:sz="0" w:space="0" w:color="auto"/>
        <w:bottom w:val="none" w:sz="0" w:space="0" w:color="auto"/>
        <w:right w:val="none" w:sz="0" w:space="0" w:color="auto"/>
      </w:divBdr>
    </w:div>
    <w:div w:id="1219123475">
      <w:bodyDiv w:val="1"/>
      <w:marLeft w:val="0"/>
      <w:marRight w:val="0"/>
      <w:marTop w:val="0"/>
      <w:marBottom w:val="0"/>
      <w:divBdr>
        <w:top w:val="none" w:sz="0" w:space="0" w:color="auto"/>
        <w:left w:val="none" w:sz="0" w:space="0" w:color="auto"/>
        <w:bottom w:val="none" w:sz="0" w:space="0" w:color="auto"/>
        <w:right w:val="none" w:sz="0" w:space="0" w:color="auto"/>
      </w:divBdr>
    </w:div>
    <w:div w:id="1436251341">
      <w:bodyDiv w:val="1"/>
      <w:marLeft w:val="0"/>
      <w:marRight w:val="0"/>
      <w:marTop w:val="0"/>
      <w:marBottom w:val="0"/>
      <w:divBdr>
        <w:top w:val="none" w:sz="0" w:space="0" w:color="auto"/>
        <w:left w:val="none" w:sz="0" w:space="0" w:color="auto"/>
        <w:bottom w:val="none" w:sz="0" w:space="0" w:color="auto"/>
        <w:right w:val="none" w:sz="0" w:space="0" w:color="auto"/>
      </w:divBdr>
    </w:div>
    <w:div w:id="1542327809">
      <w:bodyDiv w:val="1"/>
      <w:marLeft w:val="0"/>
      <w:marRight w:val="0"/>
      <w:marTop w:val="0"/>
      <w:marBottom w:val="0"/>
      <w:divBdr>
        <w:top w:val="none" w:sz="0" w:space="0" w:color="auto"/>
        <w:left w:val="none" w:sz="0" w:space="0" w:color="auto"/>
        <w:bottom w:val="none" w:sz="0" w:space="0" w:color="auto"/>
        <w:right w:val="none" w:sz="0" w:space="0" w:color="auto"/>
      </w:divBdr>
    </w:div>
    <w:div w:id="1616598086">
      <w:bodyDiv w:val="1"/>
      <w:marLeft w:val="0"/>
      <w:marRight w:val="0"/>
      <w:marTop w:val="0"/>
      <w:marBottom w:val="0"/>
      <w:divBdr>
        <w:top w:val="none" w:sz="0" w:space="0" w:color="auto"/>
        <w:left w:val="none" w:sz="0" w:space="0" w:color="auto"/>
        <w:bottom w:val="none" w:sz="0" w:space="0" w:color="auto"/>
        <w:right w:val="none" w:sz="0" w:space="0" w:color="auto"/>
      </w:divBdr>
    </w:div>
    <w:div w:id="1792434792">
      <w:bodyDiv w:val="1"/>
      <w:marLeft w:val="0"/>
      <w:marRight w:val="0"/>
      <w:marTop w:val="0"/>
      <w:marBottom w:val="0"/>
      <w:divBdr>
        <w:top w:val="none" w:sz="0" w:space="0" w:color="auto"/>
        <w:left w:val="none" w:sz="0" w:space="0" w:color="auto"/>
        <w:bottom w:val="none" w:sz="0" w:space="0" w:color="auto"/>
        <w:right w:val="none" w:sz="0" w:space="0" w:color="auto"/>
      </w:divBdr>
    </w:div>
    <w:div w:id="1918317772">
      <w:bodyDiv w:val="1"/>
      <w:marLeft w:val="0"/>
      <w:marRight w:val="0"/>
      <w:marTop w:val="0"/>
      <w:marBottom w:val="0"/>
      <w:divBdr>
        <w:top w:val="none" w:sz="0" w:space="0" w:color="auto"/>
        <w:left w:val="none" w:sz="0" w:space="0" w:color="auto"/>
        <w:bottom w:val="none" w:sz="0" w:space="0" w:color="auto"/>
        <w:right w:val="none" w:sz="0" w:space="0" w:color="auto"/>
      </w:divBdr>
    </w:div>
    <w:div w:id="2020503204">
      <w:bodyDiv w:val="1"/>
      <w:marLeft w:val="0"/>
      <w:marRight w:val="0"/>
      <w:marTop w:val="0"/>
      <w:marBottom w:val="0"/>
      <w:divBdr>
        <w:top w:val="none" w:sz="0" w:space="0" w:color="auto"/>
        <w:left w:val="none" w:sz="0" w:space="0" w:color="auto"/>
        <w:bottom w:val="none" w:sz="0" w:space="0" w:color="auto"/>
        <w:right w:val="none" w:sz="0" w:space="0" w:color="auto"/>
      </w:divBdr>
    </w:div>
    <w:div w:id="2028602118">
      <w:bodyDiv w:val="1"/>
      <w:marLeft w:val="0"/>
      <w:marRight w:val="0"/>
      <w:marTop w:val="0"/>
      <w:marBottom w:val="0"/>
      <w:divBdr>
        <w:top w:val="none" w:sz="0" w:space="0" w:color="auto"/>
        <w:left w:val="none" w:sz="0" w:space="0" w:color="auto"/>
        <w:bottom w:val="none" w:sz="0" w:space="0" w:color="auto"/>
        <w:right w:val="none" w:sz="0" w:space="0" w:color="auto"/>
      </w:divBdr>
    </w:div>
    <w:div w:id="210588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pd.eu/news-detail/time-for-ambi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ployment-social-affairs.ec.europa.eu/news/commission-proposes-broader-faster-eu-social-and-employment-funds-2025-04-02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funds4social.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ean-union.europa.eu/priorities-and-actions/eu-priorities/european-union-priorities-2024-2029_en" TargetMode="External"/><Relationship Id="rId5" Type="http://schemas.openxmlformats.org/officeDocument/2006/relationships/numbering" Target="numbering.xml"/><Relationship Id="rId15" Type="http://schemas.openxmlformats.org/officeDocument/2006/relationships/hyperlink" Target="https://alliance4investinginchildren.eu/wp-content/uploads/2025/04/A-Europe-that-protects-every-child-EU-Allianc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databrowser/view/ilc_pecs01__custom_12019207/default/table?lang=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funds4social.eu/wp-content/uploads/2023/03/EU-Helpdesk-cross-country-survey-report_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33F4810AB72642817D07682898C628" ma:contentTypeVersion="19" ma:contentTypeDescription="Create a new document." ma:contentTypeScope="" ma:versionID="d1ea95b8768d06557792f775b5b8fbc8">
  <xsd:schema xmlns:xsd="http://www.w3.org/2001/XMLSchema" xmlns:xs="http://www.w3.org/2001/XMLSchema" xmlns:p="http://schemas.microsoft.com/office/2006/metadata/properties" xmlns:ns2="0b4e6542-4a28-464b-916a-ac287e1e15ef" xmlns:ns3="cae8c1b8-3cee-434b-8da9-32960356a7de" targetNamespace="http://schemas.microsoft.com/office/2006/metadata/properties" ma:root="true" ma:fieldsID="40550e054ddaefca868a6b378322b645" ns2:_="" ns3:_="">
    <xsd:import namespace="0b4e6542-4a28-464b-916a-ac287e1e15ef"/>
    <xsd:import namespace="cae8c1b8-3cee-434b-8da9-32960356a7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6542-4a28-464b-916a-ac287e1e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60ac6d-2d98-46b4-814c-7165044f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8c1b8-3cee-434b-8da9-32960356a7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13aecc-10f9-435e-a0c0-6a8e69e4f875}" ma:internalName="TaxCatchAll" ma:showField="CatchAllData" ma:web="cae8c1b8-3cee-434b-8da9-32960356a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e6542-4a28-464b-916a-ac287e1e15ef">
      <Terms xmlns="http://schemas.microsoft.com/office/infopath/2007/PartnerControls"/>
    </lcf76f155ced4ddcb4097134ff3c332f>
    <TaxCatchAll xmlns="cae8c1b8-3cee-434b-8da9-32960356a7de" xsi:nil="true"/>
  </documentManagement>
</p:properties>
</file>

<file path=customXml/itemProps1.xml><?xml version="1.0" encoding="utf-8"?>
<ds:datastoreItem xmlns:ds="http://schemas.openxmlformats.org/officeDocument/2006/customXml" ds:itemID="{EB3B5EFF-CC47-4ED1-B0B7-896C18BB124D}">
  <ds:schemaRefs>
    <ds:schemaRef ds:uri="http://schemas.microsoft.com/sharepoint/v3/contenttype/forms"/>
  </ds:schemaRefs>
</ds:datastoreItem>
</file>

<file path=customXml/itemProps2.xml><?xml version="1.0" encoding="utf-8"?>
<ds:datastoreItem xmlns:ds="http://schemas.openxmlformats.org/officeDocument/2006/customXml" ds:itemID="{E9172024-FEFD-434C-AFB7-7FF0F546E589}">
  <ds:schemaRefs>
    <ds:schemaRef ds:uri="http://schemas.openxmlformats.org/officeDocument/2006/bibliography"/>
  </ds:schemaRefs>
</ds:datastoreItem>
</file>

<file path=customXml/itemProps3.xml><?xml version="1.0" encoding="utf-8"?>
<ds:datastoreItem xmlns:ds="http://schemas.openxmlformats.org/officeDocument/2006/customXml" ds:itemID="{2223218C-B4ED-4FA9-A3A1-E2ACEF4FA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6542-4a28-464b-916a-ac287e1e15ef"/>
    <ds:schemaRef ds:uri="cae8c1b8-3cee-434b-8da9-3296035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2A8E8-6784-4B32-9C54-C1E9C44F9985}">
  <ds:schemaRefs>
    <ds:schemaRef ds:uri="http://schemas.microsoft.com/office/2006/metadata/properties"/>
    <ds:schemaRef ds:uri="http://schemas.microsoft.com/office/infopath/2007/PartnerControls"/>
    <ds:schemaRef ds:uri="0b4e6542-4a28-464b-916a-ac287e1e15ef"/>
    <ds:schemaRef ds:uri="cae8c1b8-3cee-434b-8da9-32960356a7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3538</Words>
  <Characters>20538</Characters>
  <Application>Microsoft Office Word</Application>
  <DocSecurity>0</DocSecurity>
  <Lines>171</Lines>
  <Paragraphs>48</Paragraphs>
  <ScaleCrop>false</ScaleCrop>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Heghes</dc:creator>
  <cp:keywords/>
  <cp:lastModifiedBy>Irene  Bertana [EASPD]</cp:lastModifiedBy>
  <cp:revision>6</cp:revision>
  <dcterms:created xsi:type="dcterms:W3CDTF">2025-05-02T13:11:00Z</dcterms:created>
  <dcterms:modified xsi:type="dcterms:W3CDTF">2025-05-02T13:15:00Z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0x0101008733F4810AB72642817D07682898C628</vt:lpwstr>
  </property>
  <property fmtid="{D5CDD505-2E9C-101B-9397-08002B2CF9AE}" pid="3" name="GrammarlyDocumentId">
    <vt:lpwstr>bb44f60d03f5f3da49cadd1e597f4a4b768c4061edb075fa42f4dcb3117c06a4</vt:lpwstr>
  </property>
  <property fmtid="{D5CDD505-2E9C-101B-9397-08002B2CF9AE}" pid="4" name="MediaServiceImageTags">
    <vt:lpwstr/>
  </property>
</Properties>
</file>